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42CDBCA0"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225A4B">
        <w:rPr>
          <w:b/>
          <w:color w:val="000000" w:themeColor="text1"/>
          <w:sz w:val="24"/>
          <w:szCs w:val="24"/>
          <w:lang w:eastAsia="ko-KR"/>
        </w:rPr>
        <w:t>7</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2760A1" w:rsidRPr="00087F5E">
        <w:rPr>
          <w:rFonts w:asciiTheme="minorEastAsia" w:eastAsiaTheme="minorEastAsia" w:hAnsiTheme="minorEastAsia"/>
          <w:b/>
          <w:color w:val="000000" w:themeColor="text1"/>
          <w:sz w:val="24"/>
          <w:szCs w:val="24"/>
          <w:lang w:eastAsia="ko-KR"/>
        </w:rPr>
        <w:t>2</w:t>
      </w:r>
      <w:r w:rsidR="002760A1">
        <w:rPr>
          <w:rFonts w:asciiTheme="minorEastAsia" w:eastAsiaTheme="minorEastAsia" w:hAnsiTheme="minorEastAsia"/>
          <w:b/>
          <w:color w:val="000000" w:themeColor="text1"/>
          <w:sz w:val="24"/>
          <w:szCs w:val="24"/>
          <w:lang w:eastAsia="ko-KR"/>
        </w:rPr>
        <w:t>1</w:t>
      </w:r>
      <w:r w:rsidR="00225A4B">
        <w:rPr>
          <w:rFonts w:asciiTheme="minorEastAsia" w:eastAsiaTheme="minorEastAsia" w:hAnsiTheme="minorEastAsia"/>
          <w:b/>
          <w:color w:val="000000" w:themeColor="text1"/>
          <w:sz w:val="24"/>
          <w:szCs w:val="24"/>
          <w:lang w:eastAsia="ko-KR"/>
        </w:rPr>
        <w:t>1</w:t>
      </w:r>
      <w:r w:rsidR="00B80AF3">
        <w:rPr>
          <w:rFonts w:asciiTheme="minorEastAsia" w:eastAsiaTheme="minorEastAsia" w:hAnsiTheme="minorEastAsia"/>
          <w:b/>
          <w:color w:val="000000" w:themeColor="text1"/>
          <w:sz w:val="24"/>
          <w:szCs w:val="24"/>
          <w:lang w:eastAsia="ko-KR"/>
        </w:rPr>
        <w:t>1996</w:t>
      </w:r>
      <w:bookmarkStart w:id="1" w:name="_GoBack"/>
      <w:bookmarkEnd w:id="1"/>
    </w:p>
    <w:bookmarkEnd w:id="0"/>
    <w:p w14:paraId="232823A7" w14:textId="6FC03097"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122191">
        <w:rPr>
          <w:rFonts w:eastAsia="SimSun" w:cs="Arial"/>
          <w:b/>
          <w:bCs/>
          <w:color w:val="000000" w:themeColor="text1"/>
          <w:sz w:val="24"/>
          <w:szCs w:val="24"/>
          <w:lang w:eastAsia="zh-CN"/>
        </w:rPr>
        <w:t xml:space="preserve"> </w:t>
      </w:r>
      <w:r w:rsidR="00225A4B">
        <w:rPr>
          <w:rFonts w:eastAsia="SimSun" w:cs="Arial"/>
          <w:b/>
          <w:bCs/>
          <w:color w:val="000000" w:themeColor="text1"/>
          <w:sz w:val="24"/>
          <w:szCs w:val="24"/>
          <w:lang w:eastAsia="zh-CN"/>
        </w:rPr>
        <w:t>November</w:t>
      </w:r>
      <w:r w:rsidR="00F76C3B" w:rsidRPr="00122191">
        <w:rPr>
          <w:rFonts w:eastAsia="SimSun" w:cs="Arial"/>
          <w:b/>
          <w:bCs/>
          <w:color w:val="000000" w:themeColor="text1"/>
          <w:sz w:val="24"/>
          <w:szCs w:val="24"/>
          <w:lang w:eastAsia="zh-CN"/>
        </w:rPr>
        <w:t xml:space="preserve"> </w:t>
      </w:r>
      <w:r w:rsidR="006F2F18">
        <w:rPr>
          <w:rFonts w:eastAsia="SimSun" w:cs="Arial"/>
          <w:b/>
          <w:bCs/>
          <w:color w:val="000000" w:themeColor="text1"/>
          <w:sz w:val="24"/>
          <w:szCs w:val="24"/>
          <w:lang w:eastAsia="zh-CN"/>
        </w:rPr>
        <w:t>1</w:t>
      </w:r>
      <w:r w:rsidR="001C6A6C">
        <w:rPr>
          <w:rFonts w:eastAsia="SimSun" w:cs="Arial"/>
          <w:b/>
          <w:bCs/>
          <w:color w:val="000000" w:themeColor="text1"/>
          <w:sz w:val="24"/>
          <w:szCs w:val="24"/>
          <w:lang w:eastAsia="zh-CN"/>
        </w:rPr>
        <w:t>1</w:t>
      </w:r>
      <w:r w:rsidR="00F76C3B" w:rsidRPr="00122191">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5375C5">
        <w:rPr>
          <w:rFonts w:eastAsia="SimSun" w:cs="Arial"/>
          <w:b/>
          <w:bCs/>
          <w:color w:val="000000" w:themeColor="text1"/>
          <w:sz w:val="24"/>
          <w:szCs w:val="24"/>
          <w:lang w:eastAsia="zh-CN"/>
        </w:rPr>
        <w:t xml:space="preserve"> </w:t>
      </w:r>
      <w:r w:rsidR="001C6A6C">
        <w:rPr>
          <w:rFonts w:eastAsia="SimSun" w:cs="Arial"/>
          <w:b/>
          <w:bCs/>
          <w:color w:val="000000" w:themeColor="text1"/>
          <w:sz w:val="24"/>
          <w:szCs w:val="24"/>
          <w:lang w:eastAsia="zh-CN"/>
        </w:rPr>
        <w:t>19</w:t>
      </w:r>
      <w:r w:rsidR="00DB2605" w:rsidRPr="00DB260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DB2605">
        <w:rPr>
          <w:rFonts w:eastAsia="SimSun" w:cs="Arial"/>
          <w:b/>
          <w:bCs/>
          <w:color w:val="000000" w:themeColor="text1"/>
          <w:sz w:val="24"/>
          <w:szCs w:val="24"/>
          <w:lang w:eastAsia="zh-CN"/>
        </w:rPr>
        <w:t>1</w:t>
      </w:r>
    </w:p>
    <w:p w14:paraId="16FE5EF7" w14:textId="4A5EBA8D"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8F39D9" w:rsidRPr="005D3160">
        <w:rPr>
          <w:rFonts w:ascii="Arial" w:hAnsi="Arial"/>
          <w:color w:val="000000" w:themeColor="text1"/>
          <w:sz w:val="24"/>
        </w:rPr>
        <w:t>8.10.</w:t>
      </w:r>
      <w:r w:rsidR="00BC2C73">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EEF9B37"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55924" w:rsidRPr="00AE1C98">
        <w:rPr>
          <w:rFonts w:ascii="Arial" w:eastAsia="SimSun" w:hAnsi="Arial" w:cs="Arial"/>
          <w:color w:val="000000" w:themeColor="text1"/>
          <w:sz w:val="24"/>
          <w:lang w:eastAsia="zh-CN"/>
        </w:rPr>
        <w:t xml:space="preserve">Discussion on </w:t>
      </w:r>
      <w:r w:rsidR="00BC2C73">
        <w:rPr>
          <w:rFonts w:ascii="Arial" w:eastAsia="SimSun" w:hAnsi="Arial" w:cs="Arial"/>
          <w:color w:val="000000" w:themeColor="text1"/>
          <w:sz w:val="24"/>
          <w:lang w:eastAsia="zh-CN"/>
        </w:rPr>
        <w:t>simultaneous operation</w:t>
      </w:r>
      <w:r w:rsidR="00F01674" w:rsidRPr="00AE1C98">
        <w:rPr>
          <w:rFonts w:ascii="Arial" w:eastAsia="SimSun" w:hAnsi="Arial" w:cs="Arial"/>
          <w:color w:val="000000" w:themeColor="text1"/>
          <w:sz w:val="24"/>
          <w:lang w:eastAsia="zh-CN"/>
        </w:rPr>
        <w:t xml:space="preserve"> enhancements</w:t>
      </w:r>
      <w:r w:rsidR="00BC2C73">
        <w:rPr>
          <w:rFonts w:ascii="Arial" w:eastAsia="SimSun" w:hAnsi="Arial" w:cs="Arial"/>
          <w:color w:val="000000" w:themeColor="text1"/>
          <w:sz w:val="24"/>
          <w:lang w:eastAsia="zh-CN"/>
        </w:rPr>
        <w:t xml:space="preserve"> for </w:t>
      </w:r>
      <w:proofErr w:type="spellStart"/>
      <w:r w:rsidR="00BC2C73">
        <w:rPr>
          <w:rFonts w:ascii="Arial" w:eastAsia="SimSun" w:hAnsi="Arial" w:cs="Arial"/>
          <w:color w:val="000000" w:themeColor="text1"/>
          <w:sz w:val="24"/>
          <w:lang w:eastAsia="zh-CN"/>
        </w:rPr>
        <w:t>eIAB</w:t>
      </w:r>
      <w:proofErr w:type="spellEnd"/>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5891B2E" w14:textId="7FB6F295" w:rsidR="001A668D" w:rsidRPr="002D1C5B" w:rsidRDefault="001A668D" w:rsidP="001A668D">
      <w:pPr>
        <w:pStyle w:val="maintext"/>
        <w:ind w:firstLine="440"/>
      </w:pPr>
      <w:r>
        <w:t>This contribution presents ETRI’s views on simultaneous operations for IAB.</w:t>
      </w:r>
    </w:p>
    <w:p w14:paraId="3DCBCBAA" w14:textId="77777777" w:rsidR="00276C67" w:rsidRPr="00ED4398"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D00E868" w14:textId="794B1A56" w:rsidR="00024E0C" w:rsidRDefault="00204606" w:rsidP="00024E0C">
      <w:pPr>
        <w:pStyle w:val="2"/>
        <w:spacing w:after="120"/>
      </w:pPr>
      <w:r>
        <w:t>IAB</w:t>
      </w:r>
      <w:r w:rsidR="00D57F4C">
        <w:t xml:space="preserve"> DL</w:t>
      </w:r>
      <w:r>
        <w:t xml:space="preserve"> TX</w:t>
      </w:r>
      <w:r w:rsidR="00024E0C">
        <w:t xml:space="preserve"> power control</w:t>
      </w:r>
    </w:p>
    <w:p w14:paraId="47FB20D2" w14:textId="236775FD" w:rsidR="009A76BB" w:rsidRPr="009A76BB" w:rsidRDefault="00204606" w:rsidP="00204606">
      <w:pPr>
        <w:pStyle w:val="maintext"/>
        <w:ind w:firstLine="440"/>
      </w:pPr>
      <w:r>
        <w:rPr>
          <w:rFonts w:hint="eastAsia"/>
        </w:rPr>
        <w:t>T</w:t>
      </w:r>
      <w:r>
        <w:t xml:space="preserve">he following agreements and FFS points on IAB DL Tx power control had been made </w:t>
      </w:r>
      <w:r w:rsidR="00477798">
        <w:fldChar w:fldCharType="begin"/>
      </w:r>
      <w:r w:rsidR="00477798">
        <w:instrText xml:space="preserve"> REF _Ref78979756 \r \h </w:instrText>
      </w:r>
      <w:r w:rsidR="00477798">
        <w:fldChar w:fldCharType="separate"/>
      </w:r>
      <w:r w:rsidR="00CE07C0">
        <w:t>[1]</w:t>
      </w:r>
      <w:r w:rsidR="00477798">
        <w:fldChar w:fldCharType="end"/>
      </w:r>
      <w:r>
        <w:t>:</w:t>
      </w:r>
    </w:p>
    <w:tbl>
      <w:tblPr>
        <w:tblStyle w:val="a6"/>
        <w:tblW w:w="0" w:type="auto"/>
        <w:tblLook w:val="04A0" w:firstRow="1" w:lastRow="0" w:firstColumn="1" w:lastColumn="0" w:noHBand="0" w:noVBand="1"/>
      </w:tblPr>
      <w:tblGrid>
        <w:gridCol w:w="9736"/>
      </w:tblGrid>
      <w:tr w:rsidR="009A76BB" w:rsidRPr="00A35E1D" w14:paraId="539755AC" w14:textId="77777777" w:rsidTr="009A76BB">
        <w:tc>
          <w:tcPr>
            <w:tcW w:w="9736" w:type="dxa"/>
          </w:tcPr>
          <w:p w14:paraId="548FDEAC" w14:textId="77777777" w:rsidR="002C054B" w:rsidRDefault="002C054B" w:rsidP="007E621A">
            <w:pPr>
              <w:widowControl/>
              <w:wordWrap/>
              <w:autoSpaceDE/>
              <w:autoSpaceDN/>
              <w:spacing w:afterLines="0" w:after="0"/>
              <w:jc w:val="left"/>
              <w:rPr>
                <w:rFonts w:ascii="Times" w:eastAsia="바탕" w:hAnsi="Times" w:cs="Times"/>
                <w:sz w:val="20"/>
                <w:szCs w:val="20"/>
                <w:lang w:val="en-GB" w:eastAsia="x-none"/>
              </w:rPr>
            </w:pPr>
          </w:p>
          <w:p w14:paraId="471E79C2" w14:textId="77777777" w:rsidR="007E621A" w:rsidRPr="007E621A" w:rsidRDefault="007E621A" w:rsidP="007E621A">
            <w:pPr>
              <w:widowControl/>
              <w:wordWrap/>
              <w:autoSpaceDE/>
              <w:autoSpaceDN/>
              <w:spacing w:afterLines="0" w:after="0"/>
              <w:jc w:val="left"/>
              <w:rPr>
                <w:rFonts w:ascii="Times" w:eastAsia="바탕" w:hAnsi="Times"/>
                <w:b/>
                <w:bCs/>
                <w:sz w:val="20"/>
                <w:szCs w:val="24"/>
                <w:highlight w:val="green"/>
                <w:lang w:val="en-GB" w:eastAsia="en-US"/>
              </w:rPr>
            </w:pPr>
            <w:r w:rsidRPr="007E621A">
              <w:rPr>
                <w:rFonts w:ascii="Times" w:eastAsia="바탕" w:hAnsi="Times"/>
                <w:b/>
                <w:bCs/>
                <w:sz w:val="20"/>
                <w:szCs w:val="24"/>
                <w:highlight w:val="green"/>
                <w:lang w:val="en-GB" w:eastAsia="en-US"/>
              </w:rPr>
              <w:t>Agreement</w:t>
            </w:r>
          </w:p>
          <w:p w14:paraId="7731F53E" w14:textId="77777777" w:rsidR="007E621A" w:rsidRPr="007E621A" w:rsidRDefault="007E621A" w:rsidP="007E621A">
            <w:pPr>
              <w:widowControl/>
              <w:wordWrap/>
              <w:autoSpaceDE/>
              <w:autoSpaceDN/>
              <w:spacing w:afterLines="0" w:after="0"/>
              <w:jc w:val="left"/>
              <w:rPr>
                <w:rFonts w:ascii="Times" w:eastAsia="Calibri" w:hAnsi="Times" w:cs="Times"/>
                <w:bCs/>
                <w:sz w:val="20"/>
                <w:szCs w:val="24"/>
                <w:lang w:val="en-GB" w:eastAsia="en-US"/>
              </w:rPr>
            </w:pPr>
            <w:r w:rsidRPr="007E621A">
              <w:rPr>
                <w:rFonts w:ascii="Times" w:eastAsia="Calibri" w:hAnsi="Times" w:cs="Times"/>
                <w:bCs/>
                <w:sz w:val="20"/>
                <w:szCs w:val="24"/>
                <w:lang w:val="en-GB" w:eastAsia="en-US"/>
              </w:rPr>
              <w:t>The following alternative is selected for the association between the indicated parent-node’s DL TX power adjustment, provided by an IAB-MT to its parent-node, and IAB-node’s resources and/or configurations:</w:t>
            </w:r>
          </w:p>
          <w:p w14:paraId="529A4FB2" w14:textId="77777777" w:rsidR="007E621A" w:rsidRPr="007E621A" w:rsidRDefault="007E621A" w:rsidP="007E621A">
            <w:pPr>
              <w:widowControl/>
              <w:numPr>
                <w:ilvl w:val="0"/>
                <w:numId w:val="22"/>
              </w:numPr>
              <w:wordWrap/>
              <w:autoSpaceDE/>
              <w:autoSpaceDN/>
              <w:spacing w:afterLines="0" w:after="0" w:line="259" w:lineRule="auto"/>
              <w:contextualSpacing/>
              <w:jc w:val="left"/>
              <w:textAlignment w:val="baseline"/>
              <w:rPr>
                <w:rFonts w:ascii="Times" w:eastAsia="바탕" w:hAnsi="Times" w:cs="Times"/>
                <w:bCs/>
                <w:sz w:val="20"/>
                <w:szCs w:val="20"/>
                <w:lang w:val="en-GB" w:eastAsia="x-none"/>
              </w:rPr>
            </w:pPr>
            <w:r w:rsidRPr="007E621A">
              <w:rPr>
                <w:rFonts w:ascii="Times" w:eastAsia="바탕" w:hAnsi="Times" w:cs="Times"/>
                <w:bCs/>
                <w:sz w:val="20"/>
                <w:szCs w:val="20"/>
                <w:lang w:val="en-GB" w:eastAsia="x-none"/>
              </w:rPr>
              <w:t>Alt 2.</w:t>
            </w:r>
            <w:r w:rsidRPr="007E621A">
              <w:rPr>
                <w:rFonts w:ascii="Times" w:eastAsia="바탕" w:hAnsi="Times" w:cs="Times"/>
                <w:sz w:val="20"/>
                <w:szCs w:val="20"/>
                <w:lang w:val="en-GB" w:eastAsia="x-none"/>
              </w:rPr>
              <w:t xml:space="preserve"> </w:t>
            </w:r>
            <w:r w:rsidRPr="007E621A">
              <w:rPr>
                <w:rFonts w:ascii="Times" w:eastAsia="바탕" w:hAnsi="Times" w:cs="Times"/>
                <w:bCs/>
                <w:sz w:val="20"/>
                <w:szCs w:val="20"/>
                <w:lang w:val="en-GB" w:eastAsia="x-none"/>
              </w:rPr>
              <w:t>The desired DL TX power adjustment is indicated to be associated with some combination (one or multiple) of the following IAB-node’s configurations:</w:t>
            </w:r>
          </w:p>
          <w:p w14:paraId="04F04964" w14:textId="77777777" w:rsidR="007E621A" w:rsidRPr="007E621A" w:rsidRDefault="007E621A" w:rsidP="007E621A">
            <w:pPr>
              <w:widowControl/>
              <w:numPr>
                <w:ilvl w:val="1"/>
                <w:numId w:val="22"/>
              </w:numPr>
              <w:wordWrap/>
              <w:autoSpaceDE/>
              <w:autoSpaceDN/>
              <w:spacing w:afterLines="0" w:after="0" w:line="259" w:lineRule="auto"/>
              <w:contextualSpacing/>
              <w:jc w:val="left"/>
              <w:textAlignment w:val="baseline"/>
              <w:rPr>
                <w:rFonts w:ascii="Times" w:eastAsia="바탕" w:hAnsi="Times" w:cs="Times"/>
                <w:bCs/>
                <w:sz w:val="20"/>
                <w:szCs w:val="20"/>
                <w:lang w:val="en-GB" w:eastAsia="x-none"/>
              </w:rPr>
            </w:pPr>
            <w:r w:rsidRPr="007E621A">
              <w:rPr>
                <w:rFonts w:ascii="Times" w:eastAsia="바탕" w:hAnsi="Times" w:cs="Times"/>
                <w:bCs/>
                <w:sz w:val="20"/>
                <w:szCs w:val="20"/>
                <w:lang w:val="en-GB" w:eastAsia="x-none"/>
              </w:rPr>
              <w:t>Multiplexing mode</w:t>
            </w:r>
          </w:p>
          <w:p w14:paraId="113C401F" w14:textId="77777777" w:rsidR="007E621A" w:rsidRPr="007E621A" w:rsidRDefault="007E621A" w:rsidP="007E621A">
            <w:pPr>
              <w:widowControl/>
              <w:numPr>
                <w:ilvl w:val="1"/>
                <w:numId w:val="22"/>
              </w:numPr>
              <w:wordWrap/>
              <w:autoSpaceDE/>
              <w:autoSpaceDN/>
              <w:spacing w:afterLines="0" w:after="0" w:line="259" w:lineRule="auto"/>
              <w:contextualSpacing/>
              <w:jc w:val="left"/>
              <w:textAlignment w:val="baseline"/>
              <w:rPr>
                <w:rFonts w:ascii="Times" w:eastAsia="바탕" w:hAnsi="Times" w:cs="Times"/>
                <w:bCs/>
                <w:sz w:val="20"/>
                <w:szCs w:val="20"/>
                <w:lang w:val="en-GB" w:eastAsia="x-none"/>
              </w:rPr>
            </w:pPr>
            <w:r w:rsidRPr="007E621A">
              <w:rPr>
                <w:rFonts w:ascii="Times" w:eastAsia="바탕" w:hAnsi="Times" w:cs="Times"/>
                <w:bCs/>
                <w:sz w:val="20"/>
                <w:szCs w:val="20"/>
                <w:lang w:val="en-GB" w:eastAsia="x-none"/>
              </w:rPr>
              <w:t>MT’s DL beam (e.g. TCI state id)</w:t>
            </w:r>
          </w:p>
          <w:p w14:paraId="4F74A0FB" w14:textId="77777777" w:rsidR="007E621A" w:rsidRPr="007E621A" w:rsidRDefault="007E621A" w:rsidP="007E621A">
            <w:pPr>
              <w:widowControl/>
              <w:numPr>
                <w:ilvl w:val="1"/>
                <w:numId w:val="22"/>
              </w:numPr>
              <w:wordWrap/>
              <w:autoSpaceDE/>
              <w:autoSpaceDN/>
              <w:spacing w:afterLines="0" w:after="0" w:line="259" w:lineRule="auto"/>
              <w:contextualSpacing/>
              <w:jc w:val="left"/>
              <w:textAlignment w:val="baseline"/>
              <w:rPr>
                <w:rFonts w:ascii="Times" w:eastAsia="바탕" w:hAnsi="Times" w:cs="Times"/>
                <w:bCs/>
                <w:sz w:val="20"/>
                <w:szCs w:val="20"/>
                <w:lang w:val="en-GB" w:eastAsia="x-none"/>
              </w:rPr>
            </w:pPr>
            <w:r w:rsidRPr="007E621A">
              <w:rPr>
                <w:rFonts w:ascii="Times" w:eastAsia="바탕" w:hAnsi="Times" w:cs="Times"/>
                <w:bCs/>
                <w:sz w:val="20"/>
                <w:szCs w:val="20"/>
                <w:lang w:val="en-GB" w:eastAsia="x-none"/>
              </w:rPr>
              <w:t>(MT CC, DU cell) pair</w:t>
            </w:r>
          </w:p>
          <w:p w14:paraId="48508E1B" w14:textId="77777777" w:rsidR="007E621A" w:rsidRPr="007E621A" w:rsidRDefault="007E621A" w:rsidP="007E621A">
            <w:pPr>
              <w:widowControl/>
              <w:numPr>
                <w:ilvl w:val="1"/>
                <w:numId w:val="22"/>
              </w:numPr>
              <w:wordWrap/>
              <w:autoSpaceDE/>
              <w:autoSpaceDN/>
              <w:spacing w:afterLines="0" w:after="0" w:line="259" w:lineRule="auto"/>
              <w:contextualSpacing/>
              <w:jc w:val="left"/>
              <w:textAlignment w:val="baseline"/>
              <w:rPr>
                <w:rFonts w:ascii="Times" w:eastAsia="바탕" w:hAnsi="Times" w:cs="Times"/>
                <w:bCs/>
                <w:sz w:val="20"/>
                <w:szCs w:val="20"/>
                <w:lang w:val="en-GB" w:eastAsia="x-none"/>
              </w:rPr>
            </w:pPr>
            <w:r w:rsidRPr="007E621A">
              <w:rPr>
                <w:rFonts w:ascii="Times" w:eastAsia="바탕" w:hAnsi="Times" w:cs="Times"/>
                <w:bCs/>
                <w:sz w:val="20"/>
                <w:szCs w:val="20"/>
                <w:lang w:val="en-GB" w:eastAsia="x-none"/>
              </w:rPr>
              <w:t>DU resource configuration</w:t>
            </w:r>
          </w:p>
          <w:p w14:paraId="5568823E" w14:textId="77777777" w:rsidR="007E621A" w:rsidRPr="007E621A" w:rsidRDefault="007E621A" w:rsidP="007E621A">
            <w:pPr>
              <w:widowControl/>
              <w:numPr>
                <w:ilvl w:val="1"/>
                <w:numId w:val="22"/>
              </w:numPr>
              <w:wordWrap/>
              <w:autoSpaceDE/>
              <w:autoSpaceDN/>
              <w:spacing w:afterLines="0" w:after="0" w:line="259" w:lineRule="auto"/>
              <w:contextualSpacing/>
              <w:jc w:val="left"/>
              <w:textAlignment w:val="baseline"/>
              <w:rPr>
                <w:rFonts w:ascii="Times" w:eastAsia="바탕" w:hAnsi="Times" w:cs="Times"/>
                <w:bCs/>
                <w:sz w:val="20"/>
                <w:szCs w:val="20"/>
                <w:lang w:val="en-GB" w:eastAsia="x-none"/>
              </w:rPr>
            </w:pPr>
            <w:r w:rsidRPr="007E621A">
              <w:rPr>
                <w:rFonts w:ascii="Times" w:eastAsia="바탕" w:hAnsi="Times" w:cs="Times"/>
                <w:bCs/>
                <w:sz w:val="20"/>
                <w:szCs w:val="20"/>
                <w:lang w:val="en-GB" w:eastAsia="x-none"/>
              </w:rPr>
              <w:t>FFS: Slot index</w:t>
            </w:r>
          </w:p>
          <w:p w14:paraId="7285E6C5" w14:textId="142211BB" w:rsidR="007E621A" w:rsidRPr="0028680C" w:rsidRDefault="007E621A" w:rsidP="007E621A">
            <w:pPr>
              <w:widowControl/>
              <w:numPr>
                <w:ilvl w:val="1"/>
                <w:numId w:val="22"/>
              </w:numPr>
              <w:wordWrap/>
              <w:autoSpaceDE/>
              <w:autoSpaceDN/>
              <w:spacing w:afterLines="0" w:after="0" w:line="259" w:lineRule="auto"/>
              <w:contextualSpacing/>
              <w:jc w:val="left"/>
              <w:textAlignment w:val="baseline"/>
              <w:rPr>
                <w:rFonts w:ascii="Times" w:eastAsia="바탕" w:hAnsi="Times" w:cs="Times"/>
                <w:bCs/>
                <w:sz w:val="20"/>
                <w:szCs w:val="20"/>
                <w:lang w:val="en-GB" w:eastAsia="x-none"/>
              </w:rPr>
            </w:pPr>
            <w:r w:rsidRPr="007E621A">
              <w:rPr>
                <w:rFonts w:ascii="Times" w:eastAsia="바탕" w:hAnsi="Times" w:cs="Times"/>
                <w:bCs/>
                <w:sz w:val="20"/>
                <w:szCs w:val="20"/>
                <w:lang w:val="en-GB" w:eastAsia="x-none"/>
              </w:rPr>
              <w:t>FFS: timing mode (e.g., Case-7 timing)</w:t>
            </w:r>
          </w:p>
          <w:p w14:paraId="0083341C" w14:textId="77777777" w:rsidR="007E621A" w:rsidRPr="007E621A" w:rsidRDefault="007E621A" w:rsidP="007E621A">
            <w:pPr>
              <w:widowControl/>
              <w:wordWrap/>
              <w:autoSpaceDE/>
              <w:autoSpaceDN/>
              <w:spacing w:afterLines="0" w:after="0"/>
              <w:jc w:val="left"/>
              <w:rPr>
                <w:rFonts w:ascii="Times" w:eastAsia="바탕" w:hAnsi="Times"/>
                <w:b/>
                <w:bCs/>
                <w:sz w:val="20"/>
                <w:szCs w:val="24"/>
                <w:highlight w:val="green"/>
                <w:lang w:val="en-GB" w:eastAsia="en-US"/>
              </w:rPr>
            </w:pPr>
            <w:r w:rsidRPr="007E621A">
              <w:rPr>
                <w:rFonts w:ascii="Times" w:eastAsia="바탕" w:hAnsi="Times"/>
                <w:b/>
                <w:bCs/>
                <w:sz w:val="20"/>
                <w:szCs w:val="24"/>
                <w:highlight w:val="green"/>
                <w:lang w:val="en-GB" w:eastAsia="en-US"/>
              </w:rPr>
              <w:t>Agreement</w:t>
            </w:r>
          </w:p>
          <w:p w14:paraId="4472CA3F" w14:textId="77777777" w:rsidR="007E621A" w:rsidRPr="007E621A" w:rsidRDefault="007E621A" w:rsidP="007E621A">
            <w:pPr>
              <w:widowControl/>
              <w:wordWrap/>
              <w:autoSpaceDE/>
              <w:autoSpaceDN/>
              <w:spacing w:afterLines="0" w:after="0"/>
              <w:jc w:val="left"/>
              <w:rPr>
                <w:rFonts w:ascii="Times" w:eastAsia="맑은 고딕" w:hAnsi="Times" w:cs="Times"/>
                <w:b/>
                <w:sz w:val="20"/>
                <w:szCs w:val="20"/>
              </w:rPr>
            </w:pPr>
            <w:r w:rsidRPr="007E621A">
              <w:rPr>
                <w:rFonts w:ascii="Times" w:eastAsia="맑은 고딕" w:hAnsi="Times" w:cs="Times"/>
                <w:bCs/>
                <w:sz w:val="20"/>
                <w:szCs w:val="20"/>
              </w:rPr>
              <w:t>The DL TX power adjustment, provided by the parent-node to IAB-MT, is indicated to be associated with some combination (one or multiple) of the following IAB-node’s configurations:</w:t>
            </w:r>
          </w:p>
          <w:p w14:paraId="02C5B5F2" w14:textId="77777777" w:rsidR="007E621A" w:rsidRPr="007E621A" w:rsidRDefault="007E621A" w:rsidP="007E621A">
            <w:pPr>
              <w:widowControl/>
              <w:numPr>
                <w:ilvl w:val="0"/>
                <w:numId w:val="23"/>
              </w:numPr>
              <w:wordWrap/>
              <w:autoSpaceDE/>
              <w:autoSpaceDN/>
              <w:spacing w:afterLines="0" w:after="0" w:line="259" w:lineRule="auto"/>
              <w:jc w:val="left"/>
              <w:rPr>
                <w:rFonts w:ascii="Times" w:eastAsia="Times New Roman" w:hAnsi="Times" w:cs="Times"/>
                <w:b/>
                <w:sz w:val="20"/>
                <w:szCs w:val="20"/>
                <w:lang w:val="en-GB" w:eastAsia="en-US"/>
              </w:rPr>
            </w:pPr>
            <w:r w:rsidRPr="007E621A">
              <w:rPr>
                <w:rFonts w:ascii="Times" w:eastAsia="Times New Roman" w:hAnsi="Times" w:cs="Times"/>
                <w:bCs/>
                <w:sz w:val="20"/>
                <w:szCs w:val="20"/>
                <w:lang w:val="en-GB" w:eastAsia="en-US"/>
              </w:rPr>
              <w:t xml:space="preserve">Multiplexing mode </w:t>
            </w:r>
          </w:p>
          <w:p w14:paraId="75E1C8CC" w14:textId="77777777" w:rsidR="007E621A" w:rsidRPr="007E621A" w:rsidRDefault="007E621A" w:rsidP="007E621A">
            <w:pPr>
              <w:widowControl/>
              <w:numPr>
                <w:ilvl w:val="0"/>
                <w:numId w:val="23"/>
              </w:numPr>
              <w:wordWrap/>
              <w:autoSpaceDE/>
              <w:autoSpaceDN/>
              <w:spacing w:afterLines="0" w:after="0" w:line="259" w:lineRule="auto"/>
              <w:jc w:val="left"/>
              <w:rPr>
                <w:rFonts w:ascii="Times" w:eastAsia="Times New Roman" w:hAnsi="Times" w:cs="Times"/>
                <w:b/>
                <w:sz w:val="20"/>
                <w:szCs w:val="20"/>
                <w:lang w:val="en-GB" w:eastAsia="en-US"/>
              </w:rPr>
            </w:pPr>
            <w:r w:rsidRPr="007E621A">
              <w:rPr>
                <w:rFonts w:ascii="Times" w:eastAsia="Times New Roman" w:hAnsi="Times" w:cs="Times"/>
                <w:bCs/>
                <w:sz w:val="20"/>
                <w:szCs w:val="20"/>
                <w:lang w:val="en-GB" w:eastAsia="en-US"/>
              </w:rPr>
              <w:t>MT’s DL beam (e.g., TCI state id, RS id)</w:t>
            </w:r>
          </w:p>
          <w:p w14:paraId="71E129AD" w14:textId="77777777" w:rsidR="007E621A" w:rsidRPr="007E621A" w:rsidRDefault="007E621A" w:rsidP="007E621A">
            <w:pPr>
              <w:widowControl/>
              <w:numPr>
                <w:ilvl w:val="0"/>
                <w:numId w:val="23"/>
              </w:numPr>
              <w:wordWrap/>
              <w:autoSpaceDE/>
              <w:autoSpaceDN/>
              <w:spacing w:afterLines="0" w:after="0" w:line="259" w:lineRule="auto"/>
              <w:jc w:val="left"/>
              <w:rPr>
                <w:rFonts w:ascii="Times" w:eastAsia="Times New Roman" w:hAnsi="Times" w:cs="Times"/>
                <w:b/>
                <w:sz w:val="20"/>
                <w:szCs w:val="20"/>
                <w:lang w:val="en-GB" w:eastAsia="en-US"/>
              </w:rPr>
            </w:pPr>
            <w:r w:rsidRPr="007E621A">
              <w:rPr>
                <w:rFonts w:ascii="Times" w:eastAsia="Times New Roman" w:hAnsi="Times" w:cs="Times"/>
                <w:bCs/>
                <w:sz w:val="20"/>
                <w:szCs w:val="20"/>
                <w:lang w:val="en-GB" w:eastAsia="en-US"/>
              </w:rPr>
              <w:t>(MT CC, DU cell) pair</w:t>
            </w:r>
          </w:p>
          <w:p w14:paraId="6608D472" w14:textId="77777777" w:rsidR="007E621A" w:rsidRPr="007E621A" w:rsidRDefault="007E621A" w:rsidP="007E621A">
            <w:pPr>
              <w:widowControl/>
              <w:numPr>
                <w:ilvl w:val="0"/>
                <w:numId w:val="23"/>
              </w:numPr>
              <w:wordWrap/>
              <w:autoSpaceDE/>
              <w:autoSpaceDN/>
              <w:spacing w:afterLines="0" w:after="0" w:line="259" w:lineRule="auto"/>
              <w:jc w:val="left"/>
              <w:rPr>
                <w:rFonts w:ascii="Times" w:eastAsia="Times New Roman" w:hAnsi="Times" w:cs="Times"/>
                <w:b/>
                <w:sz w:val="20"/>
                <w:szCs w:val="20"/>
                <w:lang w:val="en-GB" w:eastAsia="en-US"/>
              </w:rPr>
            </w:pPr>
            <w:r w:rsidRPr="007E621A">
              <w:rPr>
                <w:rFonts w:ascii="Times" w:eastAsia="Times New Roman" w:hAnsi="Times" w:cs="Times"/>
                <w:bCs/>
                <w:sz w:val="20"/>
                <w:szCs w:val="20"/>
                <w:lang w:val="en-GB" w:eastAsia="en-US"/>
              </w:rPr>
              <w:t>DU resource configuration</w:t>
            </w:r>
          </w:p>
          <w:p w14:paraId="7BCB0A54" w14:textId="77777777" w:rsidR="007E621A" w:rsidRPr="007E621A" w:rsidRDefault="007E621A" w:rsidP="007E621A">
            <w:pPr>
              <w:widowControl/>
              <w:numPr>
                <w:ilvl w:val="0"/>
                <w:numId w:val="23"/>
              </w:numPr>
              <w:wordWrap/>
              <w:autoSpaceDE/>
              <w:autoSpaceDN/>
              <w:spacing w:afterLines="0" w:after="0" w:line="259" w:lineRule="auto"/>
              <w:jc w:val="left"/>
              <w:rPr>
                <w:rFonts w:ascii="Times" w:eastAsia="Times New Roman" w:hAnsi="Times" w:cs="Times"/>
                <w:b/>
                <w:sz w:val="20"/>
                <w:szCs w:val="20"/>
                <w:lang w:val="en-GB" w:eastAsia="en-US"/>
              </w:rPr>
            </w:pPr>
            <w:r w:rsidRPr="007E621A">
              <w:rPr>
                <w:rFonts w:ascii="Times" w:eastAsia="Times New Roman" w:hAnsi="Times" w:cs="Times"/>
                <w:bCs/>
                <w:sz w:val="20"/>
                <w:szCs w:val="20"/>
                <w:lang w:val="en-GB" w:eastAsia="en-US"/>
              </w:rPr>
              <w:t>FFS: DL signal/channel type</w:t>
            </w:r>
          </w:p>
          <w:p w14:paraId="37582E74" w14:textId="77777777" w:rsidR="007E621A" w:rsidRPr="007E621A" w:rsidRDefault="007E621A" w:rsidP="007E621A">
            <w:pPr>
              <w:widowControl/>
              <w:numPr>
                <w:ilvl w:val="0"/>
                <w:numId w:val="23"/>
              </w:numPr>
              <w:wordWrap/>
              <w:autoSpaceDE/>
              <w:autoSpaceDN/>
              <w:spacing w:afterLines="0" w:after="0" w:line="259" w:lineRule="auto"/>
              <w:jc w:val="left"/>
              <w:rPr>
                <w:rFonts w:ascii="Times" w:eastAsia="Times New Roman" w:hAnsi="Times" w:cs="Times"/>
                <w:b/>
                <w:sz w:val="20"/>
                <w:szCs w:val="20"/>
                <w:lang w:val="en-GB" w:eastAsia="en-US"/>
              </w:rPr>
            </w:pPr>
            <w:r w:rsidRPr="007E621A">
              <w:rPr>
                <w:rFonts w:ascii="Times" w:eastAsia="Times New Roman" w:hAnsi="Times" w:cs="Times"/>
                <w:bCs/>
                <w:sz w:val="20"/>
                <w:szCs w:val="20"/>
                <w:lang w:val="en-GB" w:eastAsia="en-US"/>
              </w:rPr>
              <w:t>FFS: slot index</w:t>
            </w:r>
          </w:p>
          <w:p w14:paraId="51980210" w14:textId="02AF6419" w:rsidR="007E621A" w:rsidRPr="007E621A" w:rsidRDefault="007E621A" w:rsidP="007E621A">
            <w:pPr>
              <w:widowControl/>
              <w:numPr>
                <w:ilvl w:val="0"/>
                <w:numId w:val="23"/>
              </w:numPr>
              <w:wordWrap/>
              <w:autoSpaceDE/>
              <w:autoSpaceDN/>
              <w:spacing w:afterLines="0" w:after="0" w:line="259" w:lineRule="auto"/>
              <w:jc w:val="left"/>
              <w:rPr>
                <w:rFonts w:ascii="Times" w:eastAsia="Times New Roman" w:hAnsi="Times" w:cs="Times"/>
                <w:b/>
                <w:sz w:val="20"/>
                <w:szCs w:val="20"/>
                <w:lang w:val="en-GB" w:eastAsia="en-US"/>
              </w:rPr>
            </w:pPr>
            <w:r w:rsidRPr="007E621A">
              <w:rPr>
                <w:rFonts w:ascii="Times" w:eastAsia="Times New Roman" w:hAnsi="Times" w:cs="Times"/>
                <w:bCs/>
                <w:sz w:val="20"/>
                <w:szCs w:val="20"/>
                <w:lang w:val="en-GB" w:eastAsia="en-US"/>
              </w:rPr>
              <w:t>FFS: timing mode (e.g., Case-7 timing)</w:t>
            </w:r>
          </w:p>
          <w:p w14:paraId="4F93FF32" w14:textId="77777777" w:rsidR="007E621A" w:rsidRPr="007E621A" w:rsidRDefault="007E621A" w:rsidP="007E621A">
            <w:pPr>
              <w:widowControl/>
              <w:wordWrap/>
              <w:autoSpaceDE/>
              <w:autoSpaceDN/>
              <w:spacing w:afterLines="0" w:after="0"/>
              <w:jc w:val="left"/>
              <w:rPr>
                <w:rFonts w:ascii="Times" w:eastAsia="바탕" w:hAnsi="Times"/>
                <w:b/>
                <w:bCs/>
                <w:sz w:val="20"/>
                <w:szCs w:val="24"/>
                <w:highlight w:val="green"/>
                <w:lang w:val="en-GB" w:eastAsia="en-US"/>
              </w:rPr>
            </w:pPr>
            <w:r w:rsidRPr="007E621A">
              <w:rPr>
                <w:rFonts w:ascii="Times" w:eastAsia="바탕" w:hAnsi="Times"/>
                <w:b/>
                <w:bCs/>
                <w:sz w:val="20"/>
                <w:szCs w:val="24"/>
                <w:highlight w:val="green"/>
                <w:lang w:val="en-GB" w:eastAsia="en-US"/>
              </w:rPr>
              <w:t>Agreement</w:t>
            </w:r>
          </w:p>
          <w:p w14:paraId="7BB203C4" w14:textId="77777777" w:rsidR="007E621A" w:rsidRPr="007E621A" w:rsidRDefault="007E621A" w:rsidP="007E621A">
            <w:pPr>
              <w:widowControl/>
              <w:wordWrap/>
              <w:autoSpaceDE/>
              <w:autoSpaceDN/>
              <w:spacing w:afterLines="0" w:after="0"/>
              <w:jc w:val="left"/>
              <w:rPr>
                <w:rFonts w:ascii="Times" w:eastAsia="맑은 고딕" w:hAnsi="Times" w:cs="Times"/>
                <w:b/>
                <w:sz w:val="20"/>
                <w:szCs w:val="20"/>
              </w:rPr>
            </w:pPr>
            <w:r w:rsidRPr="007E621A">
              <w:rPr>
                <w:rFonts w:ascii="Times" w:eastAsia="맑은 고딕" w:hAnsi="Times" w:cs="Times"/>
                <w:bCs/>
                <w:sz w:val="20"/>
                <w:szCs w:val="20"/>
              </w:rPr>
              <w:t>The DL TX power adjustment, provided by the parent-node to the IAB-MT, is indicated via MAC-CE.</w:t>
            </w:r>
          </w:p>
          <w:p w14:paraId="774777E7" w14:textId="77777777" w:rsidR="007E621A" w:rsidRPr="007E621A" w:rsidRDefault="007E621A" w:rsidP="007E621A">
            <w:pPr>
              <w:widowControl/>
              <w:numPr>
                <w:ilvl w:val="0"/>
                <w:numId w:val="24"/>
              </w:numPr>
              <w:wordWrap/>
              <w:autoSpaceDE/>
              <w:autoSpaceDN/>
              <w:spacing w:afterLines="0" w:after="0" w:line="259" w:lineRule="auto"/>
              <w:jc w:val="left"/>
              <w:rPr>
                <w:rFonts w:ascii="Times" w:eastAsia="Times New Roman" w:hAnsi="Times" w:cs="Times"/>
                <w:sz w:val="20"/>
                <w:szCs w:val="20"/>
                <w:lang w:val="en-GB" w:eastAsia="en-US"/>
              </w:rPr>
            </w:pPr>
            <w:r w:rsidRPr="007E621A">
              <w:rPr>
                <w:rFonts w:ascii="Times" w:eastAsia="Times New Roman" w:hAnsi="Times" w:cs="Times"/>
                <w:bCs/>
                <w:sz w:val="20"/>
                <w:szCs w:val="20"/>
                <w:lang w:val="en-GB" w:eastAsia="en-US"/>
              </w:rPr>
              <w:t>The indication further includes the associated configurations and/or resources for which the indicated power adjustment is applicable.</w:t>
            </w:r>
          </w:p>
          <w:p w14:paraId="0BCFC2F2" w14:textId="77777777" w:rsidR="007E621A" w:rsidRPr="007E621A" w:rsidRDefault="007E621A" w:rsidP="007E621A">
            <w:pPr>
              <w:widowControl/>
              <w:numPr>
                <w:ilvl w:val="0"/>
                <w:numId w:val="24"/>
              </w:numPr>
              <w:wordWrap/>
              <w:autoSpaceDE/>
              <w:autoSpaceDN/>
              <w:spacing w:afterLines="0" w:after="0" w:line="259" w:lineRule="auto"/>
              <w:jc w:val="left"/>
              <w:rPr>
                <w:rFonts w:ascii="Times" w:eastAsia="Times New Roman" w:hAnsi="Times" w:cs="Times"/>
                <w:sz w:val="20"/>
                <w:szCs w:val="20"/>
                <w:lang w:val="en-GB" w:eastAsia="en-US"/>
              </w:rPr>
            </w:pPr>
            <w:r w:rsidRPr="007E621A">
              <w:rPr>
                <w:rFonts w:ascii="Times" w:eastAsia="Times New Roman" w:hAnsi="Times" w:cs="Times"/>
                <w:bCs/>
                <w:sz w:val="20"/>
                <w:szCs w:val="20"/>
                <w:lang w:val="en-GB" w:eastAsia="en-US"/>
              </w:rPr>
              <w:t xml:space="preserve">The indicated adjustment is in terms of a relative offset to a reference DL TX power. </w:t>
            </w:r>
          </w:p>
          <w:p w14:paraId="3C76724A" w14:textId="77777777" w:rsidR="007E621A" w:rsidRPr="007E621A" w:rsidRDefault="007E621A" w:rsidP="007E621A">
            <w:pPr>
              <w:widowControl/>
              <w:numPr>
                <w:ilvl w:val="1"/>
                <w:numId w:val="22"/>
              </w:numPr>
              <w:wordWrap/>
              <w:autoSpaceDE/>
              <w:autoSpaceDN/>
              <w:spacing w:afterLines="0" w:after="0" w:line="259" w:lineRule="auto"/>
              <w:contextualSpacing/>
              <w:jc w:val="left"/>
              <w:textAlignment w:val="baseline"/>
              <w:rPr>
                <w:rFonts w:ascii="Times" w:eastAsia="바탕" w:hAnsi="Times"/>
                <w:sz w:val="20"/>
                <w:szCs w:val="24"/>
                <w:lang w:val="en-GB" w:eastAsia="x-none"/>
              </w:rPr>
            </w:pPr>
            <w:r w:rsidRPr="007E621A">
              <w:rPr>
                <w:rFonts w:ascii="Times" w:eastAsia="바탕" w:hAnsi="Times"/>
                <w:bCs/>
                <w:sz w:val="20"/>
                <w:szCs w:val="24"/>
                <w:lang w:val="en-GB" w:eastAsia="x-none"/>
              </w:rPr>
              <w:t>FFS: the reference power (e.g., an RS such as CSI-RS, etc) for the indication of DL Tx power adjustment.</w:t>
            </w:r>
          </w:p>
          <w:p w14:paraId="79735F13" w14:textId="72FDCFC7" w:rsidR="007E621A" w:rsidRPr="007E621A" w:rsidRDefault="007E621A" w:rsidP="007E621A">
            <w:pPr>
              <w:widowControl/>
              <w:numPr>
                <w:ilvl w:val="1"/>
                <w:numId w:val="22"/>
              </w:numPr>
              <w:wordWrap/>
              <w:autoSpaceDE/>
              <w:autoSpaceDN/>
              <w:spacing w:afterLines="0" w:after="0" w:line="259" w:lineRule="auto"/>
              <w:contextualSpacing/>
              <w:jc w:val="left"/>
              <w:textAlignment w:val="baseline"/>
              <w:rPr>
                <w:rFonts w:ascii="Times" w:eastAsia="바탕" w:hAnsi="Times"/>
                <w:sz w:val="20"/>
                <w:szCs w:val="24"/>
                <w:lang w:val="en-GB" w:eastAsia="x-none"/>
              </w:rPr>
            </w:pPr>
            <w:r w:rsidRPr="007E621A">
              <w:rPr>
                <w:rFonts w:ascii="Times" w:eastAsia="바탕" w:hAnsi="Times"/>
                <w:bCs/>
                <w:sz w:val="20"/>
                <w:szCs w:val="24"/>
                <w:lang w:val="en-GB" w:eastAsia="x-none"/>
              </w:rPr>
              <w:t xml:space="preserve">FFS: the range of values for the indicated adjustment. </w:t>
            </w:r>
          </w:p>
          <w:p w14:paraId="5A1354FC" w14:textId="77777777" w:rsidR="007E621A" w:rsidRPr="007E621A" w:rsidRDefault="007E621A" w:rsidP="007E621A">
            <w:pPr>
              <w:widowControl/>
              <w:wordWrap/>
              <w:autoSpaceDE/>
              <w:autoSpaceDN/>
              <w:spacing w:afterLines="0" w:after="0"/>
              <w:jc w:val="left"/>
              <w:rPr>
                <w:rFonts w:ascii="Times" w:eastAsia="바탕" w:hAnsi="Times"/>
                <w:b/>
                <w:bCs/>
                <w:sz w:val="20"/>
                <w:szCs w:val="24"/>
                <w:highlight w:val="green"/>
                <w:lang w:val="en-GB" w:eastAsia="en-US"/>
              </w:rPr>
            </w:pPr>
            <w:r w:rsidRPr="007E621A">
              <w:rPr>
                <w:rFonts w:ascii="Times" w:eastAsia="바탕" w:hAnsi="Times"/>
                <w:b/>
                <w:bCs/>
                <w:sz w:val="20"/>
                <w:szCs w:val="24"/>
                <w:highlight w:val="green"/>
                <w:lang w:val="en-GB" w:eastAsia="en-US"/>
              </w:rPr>
              <w:t>Agreement</w:t>
            </w:r>
          </w:p>
          <w:p w14:paraId="32B035C4" w14:textId="77777777" w:rsidR="007E621A" w:rsidRPr="007E621A" w:rsidRDefault="007E621A" w:rsidP="007E621A">
            <w:pPr>
              <w:widowControl/>
              <w:wordWrap/>
              <w:autoSpaceDE/>
              <w:autoSpaceDN/>
              <w:spacing w:afterLines="0" w:after="0"/>
              <w:jc w:val="left"/>
              <w:rPr>
                <w:rFonts w:ascii="Times" w:eastAsia="맑은 고딕" w:hAnsi="Times" w:cs="Times"/>
                <w:b/>
                <w:sz w:val="20"/>
                <w:szCs w:val="20"/>
              </w:rPr>
            </w:pPr>
            <w:r w:rsidRPr="007E621A">
              <w:rPr>
                <w:rFonts w:ascii="Times" w:eastAsia="맑은 고딕" w:hAnsi="Times" w:cs="Times"/>
                <w:bCs/>
                <w:sz w:val="20"/>
                <w:szCs w:val="20"/>
              </w:rPr>
              <w:t>The indicated DL TX power adjustment is not applied to SSBs.</w:t>
            </w:r>
          </w:p>
          <w:p w14:paraId="2D0B8176" w14:textId="77777777" w:rsidR="007E621A" w:rsidRPr="007E621A" w:rsidRDefault="007E621A" w:rsidP="007E621A">
            <w:pPr>
              <w:widowControl/>
              <w:numPr>
                <w:ilvl w:val="0"/>
                <w:numId w:val="24"/>
              </w:numPr>
              <w:wordWrap/>
              <w:autoSpaceDE/>
              <w:autoSpaceDN/>
              <w:spacing w:afterLines="0" w:after="0" w:line="259" w:lineRule="auto"/>
              <w:jc w:val="left"/>
              <w:rPr>
                <w:rFonts w:ascii="Times" w:eastAsia="바탕" w:hAnsi="Times"/>
                <w:b/>
                <w:bCs/>
                <w:sz w:val="20"/>
                <w:szCs w:val="24"/>
                <w:lang w:val="en-GB" w:eastAsia="en-US"/>
              </w:rPr>
            </w:pPr>
            <w:r w:rsidRPr="007E621A">
              <w:rPr>
                <w:rFonts w:ascii="Times" w:eastAsia="Times New Roman" w:hAnsi="Times" w:cs="Times"/>
                <w:bCs/>
                <w:sz w:val="20"/>
                <w:szCs w:val="20"/>
                <w:lang w:val="en-GB" w:eastAsia="en-US"/>
              </w:rPr>
              <w:t>FFS: any other cell-specific/semi-static DL signal to be exempted.</w:t>
            </w:r>
          </w:p>
          <w:p w14:paraId="2D725CDE" w14:textId="77777777" w:rsidR="007E621A" w:rsidRPr="007E621A" w:rsidRDefault="007E621A" w:rsidP="007E621A">
            <w:pPr>
              <w:widowControl/>
              <w:numPr>
                <w:ilvl w:val="0"/>
                <w:numId w:val="24"/>
              </w:numPr>
              <w:wordWrap/>
              <w:autoSpaceDE/>
              <w:autoSpaceDN/>
              <w:spacing w:afterLines="0" w:after="0" w:line="259" w:lineRule="auto"/>
              <w:jc w:val="left"/>
              <w:rPr>
                <w:rFonts w:ascii="Times" w:eastAsia="바탕" w:hAnsi="Times"/>
                <w:b/>
                <w:bCs/>
                <w:sz w:val="20"/>
                <w:szCs w:val="24"/>
                <w:lang w:val="en-GB" w:eastAsia="en-US"/>
              </w:rPr>
            </w:pPr>
            <w:r w:rsidRPr="007E621A">
              <w:rPr>
                <w:rFonts w:ascii="Times" w:eastAsia="Times New Roman" w:hAnsi="Times" w:cs="Times"/>
                <w:bCs/>
                <w:sz w:val="20"/>
                <w:szCs w:val="20"/>
                <w:lang w:val="en-GB" w:eastAsia="en-US"/>
              </w:rPr>
              <w:lastRenderedPageBreak/>
              <w:t xml:space="preserve">FFS: applicability of the indicated TX power adjustment to </w:t>
            </w:r>
            <w:proofErr w:type="gramStart"/>
            <w:r w:rsidRPr="007E621A">
              <w:rPr>
                <w:rFonts w:ascii="Times" w:eastAsia="Times New Roman" w:hAnsi="Times" w:cs="Times"/>
                <w:bCs/>
                <w:sz w:val="20"/>
                <w:szCs w:val="20"/>
                <w:lang w:val="en-GB" w:eastAsia="en-US"/>
              </w:rPr>
              <w:t>other</w:t>
            </w:r>
            <w:proofErr w:type="gramEnd"/>
            <w:r w:rsidRPr="007E621A">
              <w:rPr>
                <w:rFonts w:ascii="Times" w:eastAsia="Times New Roman" w:hAnsi="Times" w:cs="Times"/>
                <w:bCs/>
                <w:sz w:val="20"/>
                <w:szCs w:val="20"/>
                <w:lang w:val="en-GB" w:eastAsia="en-US"/>
              </w:rPr>
              <w:t xml:space="preserve"> RS/channel which share the same QCL Type-D assumption.</w:t>
            </w:r>
          </w:p>
          <w:p w14:paraId="20A0CAF8" w14:textId="15F2FF64" w:rsidR="007E621A" w:rsidRPr="00BE5069" w:rsidRDefault="007E621A" w:rsidP="007E621A">
            <w:pPr>
              <w:widowControl/>
              <w:wordWrap/>
              <w:autoSpaceDE/>
              <w:autoSpaceDN/>
              <w:spacing w:afterLines="0" w:after="0"/>
              <w:jc w:val="left"/>
              <w:rPr>
                <w:rFonts w:ascii="Times" w:eastAsia="바탕" w:hAnsi="Times" w:cs="Times"/>
                <w:sz w:val="20"/>
                <w:szCs w:val="20"/>
                <w:lang w:val="en-GB" w:eastAsia="x-none"/>
              </w:rPr>
            </w:pPr>
          </w:p>
        </w:tc>
      </w:tr>
    </w:tbl>
    <w:p w14:paraId="1BF08C99" w14:textId="513E48EE" w:rsidR="00EA2EFD" w:rsidRPr="007450FD" w:rsidRDefault="00EA2EFD" w:rsidP="007450FD">
      <w:pPr>
        <w:pStyle w:val="maintext"/>
        <w:ind w:firstLineChars="0" w:firstLine="0"/>
        <w:rPr>
          <w:rFonts w:eastAsiaTheme="minorEastAsia"/>
          <w:b/>
          <w:u w:val="single"/>
        </w:rPr>
      </w:pPr>
    </w:p>
    <w:p w14:paraId="4CEC7025" w14:textId="5EF8694F" w:rsidR="00D57F4C" w:rsidRDefault="00E673D1" w:rsidP="00741C33">
      <w:pPr>
        <w:pStyle w:val="maintext"/>
        <w:ind w:firstLine="440"/>
        <w:rPr>
          <w:rFonts w:eastAsiaTheme="minorEastAsia"/>
        </w:rPr>
      </w:pPr>
      <w:r>
        <w:rPr>
          <w:rFonts w:eastAsiaTheme="minorEastAsia" w:hint="eastAsia"/>
        </w:rPr>
        <w:t>I</w:t>
      </w:r>
      <w:r>
        <w:rPr>
          <w:rFonts w:eastAsiaTheme="minorEastAsia"/>
        </w:rPr>
        <w:t>n RAN1#106-e meeting, it was agreed to support “</w:t>
      </w:r>
      <w:r w:rsidRPr="00E673D1">
        <w:rPr>
          <w:rFonts w:eastAsiaTheme="minorEastAsia"/>
        </w:rPr>
        <w:t>an IAB-node indicating adjustment to its DL TX power to a child node (e.g., in response to receiving the DL TX power assistance information from the child node) at least for specific time resources</w:t>
      </w:r>
      <w:r>
        <w:rPr>
          <w:rFonts w:eastAsiaTheme="minorEastAsia"/>
        </w:rPr>
        <w:t xml:space="preserve">”. Also, it was clarified that the </w:t>
      </w:r>
      <w:r w:rsidRPr="00E673D1">
        <w:rPr>
          <w:rFonts w:eastAsiaTheme="minorEastAsia"/>
        </w:rPr>
        <w:t>DL TX power adjustment indication can further be associated with spatial configuration (e.g., MT’s DL RX beams</w:t>
      </w:r>
      <w:r>
        <w:rPr>
          <w:rFonts w:eastAsiaTheme="minorEastAsia"/>
        </w:rPr>
        <w:t>). When we assume that the “association with spatial configuration” means that the DL TX power adjustment indication would include a set of TCI states, for example, it would still be difficult to consider that the DL TX power of all the channels/signals related with those TCI states are adjusted by the same manner given that each DL channel/signal is transmitted by different DL TX power level and has different impact on the network performance.</w:t>
      </w:r>
    </w:p>
    <w:p w14:paraId="3206A696" w14:textId="7AECDD54" w:rsidR="00D57F4C" w:rsidRDefault="00EB47E9" w:rsidP="00741C33">
      <w:pPr>
        <w:pStyle w:val="maintext"/>
        <w:ind w:firstLine="440"/>
        <w:rPr>
          <w:rFonts w:eastAsiaTheme="minorEastAsia"/>
        </w:rPr>
      </w:pPr>
      <w:r>
        <w:rPr>
          <w:rFonts w:eastAsiaTheme="minorEastAsia" w:hint="eastAsia"/>
        </w:rPr>
        <w:t>F</w:t>
      </w:r>
      <w:r>
        <w:rPr>
          <w:rFonts w:eastAsiaTheme="minorEastAsia"/>
        </w:rPr>
        <w:t xml:space="preserve">rom Rel-16 specification perspective, </w:t>
      </w:r>
      <w:r w:rsidR="00A94976">
        <w:rPr>
          <w:rFonts w:eastAsiaTheme="minorEastAsia"/>
        </w:rPr>
        <w:t>a UE</w:t>
      </w:r>
      <w:r w:rsidR="008647F3">
        <w:rPr>
          <w:rFonts w:eastAsiaTheme="minorEastAsia"/>
        </w:rPr>
        <w:t xml:space="preserve"> (</w:t>
      </w:r>
      <w:r w:rsidR="008647F3">
        <w:rPr>
          <w:rFonts w:eastAsiaTheme="minorEastAsia" w:hint="eastAsia"/>
        </w:rPr>
        <w:t>M</w:t>
      </w:r>
      <w:r w:rsidR="008647F3">
        <w:rPr>
          <w:rFonts w:eastAsiaTheme="minorEastAsia"/>
        </w:rPr>
        <w:t>T)</w:t>
      </w:r>
      <w:r w:rsidR="00A94976">
        <w:rPr>
          <w:rFonts w:eastAsiaTheme="minorEastAsia"/>
        </w:rPr>
        <w:t xml:space="preserve"> can be configured with </w:t>
      </w:r>
      <w:r w:rsidR="001C3485">
        <w:rPr>
          <w:rFonts w:eastAsiaTheme="minorEastAsia"/>
        </w:rPr>
        <w:t>a set of parameters on power ratio of DL channels/signals, such as Pc (</w:t>
      </w:r>
      <w:r w:rsidR="001C3485" w:rsidRPr="001C3485">
        <w:rPr>
          <w:rFonts w:eastAsiaTheme="minorEastAsia"/>
        </w:rPr>
        <w:t>the assumed ratio of PDSCH EPRE to NZP CSI-RS EPRE when UE derives CSI feedback</w:t>
      </w:r>
      <w:r w:rsidR="001C3485">
        <w:rPr>
          <w:rFonts w:eastAsiaTheme="minorEastAsia"/>
        </w:rPr>
        <w:t>,</w:t>
      </w:r>
      <w:r w:rsidR="001C3485" w:rsidRPr="001C3485">
        <w:rPr>
          <w:rFonts w:eastAsiaTheme="minorEastAsia"/>
        </w:rPr>
        <w:t xml:space="preserve"> </w:t>
      </w:r>
      <w:r w:rsidR="001C3485">
        <w:rPr>
          <w:rFonts w:eastAsiaTheme="minorEastAsia"/>
        </w:rPr>
        <w:t xml:space="preserve">configured by </w:t>
      </w:r>
      <w:proofErr w:type="spellStart"/>
      <w:r w:rsidR="001C3485" w:rsidRPr="001C3485">
        <w:rPr>
          <w:rFonts w:eastAsiaTheme="minorEastAsia"/>
          <w:i/>
        </w:rPr>
        <w:t>powerControlOffset</w:t>
      </w:r>
      <w:proofErr w:type="spellEnd"/>
      <w:r w:rsidR="001C3485">
        <w:rPr>
          <w:rFonts w:eastAsiaTheme="minorEastAsia"/>
        </w:rPr>
        <w:t xml:space="preserve">), </w:t>
      </w:r>
      <w:proofErr w:type="spellStart"/>
      <w:proofErr w:type="gramStart"/>
      <w:r w:rsidR="001C3485">
        <w:rPr>
          <w:rFonts w:eastAsiaTheme="minorEastAsia"/>
        </w:rPr>
        <w:t>Pc,SS</w:t>
      </w:r>
      <w:proofErr w:type="spellEnd"/>
      <w:proofErr w:type="gramEnd"/>
      <w:r w:rsidR="001C3485">
        <w:rPr>
          <w:rFonts w:eastAsiaTheme="minorEastAsia"/>
        </w:rPr>
        <w:t xml:space="preserve"> (</w:t>
      </w:r>
      <w:r w:rsidR="001C3485" w:rsidRPr="001C3485">
        <w:rPr>
          <w:rFonts w:eastAsiaTheme="minorEastAsia"/>
        </w:rPr>
        <w:t>the assumed ratio of NZP CSI-RS EPRE to SS/PBCH block EPRE</w:t>
      </w:r>
      <w:r w:rsidR="001C3485">
        <w:rPr>
          <w:rFonts w:eastAsiaTheme="minorEastAsia"/>
        </w:rPr>
        <w:t>,</w:t>
      </w:r>
      <w:r w:rsidR="001C3485" w:rsidRPr="001C3485">
        <w:rPr>
          <w:rFonts w:eastAsiaTheme="minorEastAsia"/>
        </w:rPr>
        <w:t xml:space="preserve"> </w:t>
      </w:r>
      <w:r w:rsidR="001C3485">
        <w:rPr>
          <w:rFonts w:eastAsiaTheme="minorEastAsia"/>
        </w:rPr>
        <w:t xml:space="preserve">configured by </w:t>
      </w:r>
      <w:proofErr w:type="spellStart"/>
      <w:r w:rsidR="001C3485" w:rsidRPr="001C3485">
        <w:rPr>
          <w:rFonts w:eastAsiaTheme="minorEastAsia"/>
          <w:i/>
        </w:rPr>
        <w:t>powerControlOffset</w:t>
      </w:r>
      <w:r w:rsidR="001C3485">
        <w:rPr>
          <w:rFonts w:eastAsiaTheme="minorEastAsia"/>
          <w:i/>
        </w:rPr>
        <w:t>SS</w:t>
      </w:r>
      <w:proofErr w:type="spellEnd"/>
      <w:r w:rsidR="001C3485">
        <w:rPr>
          <w:rFonts w:eastAsiaTheme="minorEastAsia"/>
        </w:rPr>
        <w:t xml:space="preserve">), or </w:t>
      </w:r>
      <w:proofErr w:type="spellStart"/>
      <w:r w:rsidR="001C3485">
        <w:rPr>
          <w:rFonts w:eastAsiaTheme="minorEastAsia"/>
        </w:rPr>
        <w:t>Pc,PDCCH</w:t>
      </w:r>
      <w:proofErr w:type="spellEnd"/>
      <w:r w:rsidR="001C3485">
        <w:rPr>
          <w:rFonts w:eastAsiaTheme="minorEastAsia"/>
        </w:rPr>
        <w:t xml:space="preserve"> (</w:t>
      </w:r>
      <w:r w:rsidR="001C3485" w:rsidRPr="001C3485">
        <w:rPr>
          <w:rFonts w:eastAsiaTheme="minorEastAsia"/>
        </w:rPr>
        <w:t>the assumed ratio of NZP CSI-RS EPRE to PDCCH EPRE</w:t>
      </w:r>
      <w:r w:rsidR="001C3485">
        <w:rPr>
          <w:rFonts w:eastAsiaTheme="minorEastAsia"/>
        </w:rPr>
        <w:t>,</w:t>
      </w:r>
      <w:r w:rsidR="001C3485" w:rsidRPr="001C3485">
        <w:rPr>
          <w:rFonts w:eastAsiaTheme="minorEastAsia"/>
        </w:rPr>
        <w:t xml:space="preserve"> </w:t>
      </w:r>
      <w:r w:rsidR="001C3485">
        <w:rPr>
          <w:rFonts w:eastAsiaTheme="minorEastAsia"/>
        </w:rPr>
        <w:t xml:space="preserve">defined as 0 dB). </w:t>
      </w:r>
      <w:r w:rsidR="00AE6BFD">
        <w:rPr>
          <w:rFonts w:eastAsiaTheme="minorEastAsia"/>
        </w:rPr>
        <w:t xml:space="preserve">Although these parameters do not represent the actual transmission power of </w:t>
      </w:r>
      <w:proofErr w:type="spellStart"/>
      <w:r w:rsidR="00AE6BFD">
        <w:rPr>
          <w:rFonts w:eastAsiaTheme="minorEastAsia"/>
        </w:rPr>
        <w:t>gNB</w:t>
      </w:r>
      <w:proofErr w:type="spellEnd"/>
      <w:r w:rsidR="00AE6BFD">
        <w:rPr>
          <w:rFonts w:eastAsiaTheme="minorEastAsia"/>
        </w:rPr>
        <w:t xml:space="preserve"> (i.e., </w:t>
      </w:r>
      <w:proofErr w:type="spellStart"/>
      <w:r w:rsidR="00AE6BFD">
        <w:rPr>
          <w:rFonts w:eastAsiaTheme="minorEastAsia"/>
        </w:rPr>
        <w:t>gNB</w:t>
      </w:r>
      <w:proofErr w:type="spellEnd"/>
      <w:r w:rsidR="00AE6BFD">
        <w:rPr>
          <w:rFonts w:eastAsiaTheme="minorEastAsia"/>
        </w:rPr>
        <w:t xml:space="preserve"> still has </w:t>
      </w:r>
      <w:r w:rsidR="004D2F40">
        <w:rPr>
          <w:rFonts w:eastAsiaTheme="minorEastAsia"/>
        </w:rPr>
        <w:t>its flexibility on the actual transmission power for different channels/signals, since those parameters are provided just as the UE assumptions</w:t>
      </w:r>
      <w:r w:rsidR="00AE6BFD">
        <w:rPr>
          <w:rFonts w:eastAsiaTheme="minorEastAsia"/>
        </w:rPr>
        <w:t>)</w:t>
      </w:r>
      <w:r w:rsidR="004D2F40">
        <w:rPr>
          <w:rFonts w:eastAsiaTheme="minorEastAsia"/>
        </w:rPr>
        <w:t xml:space="preserve">, </w:t>
      </w:r>
      <w:r w:rsidR="00997698">
        <w:rPr>
          <w:rFonts w:eastAsiaTheme="minorEastAsia"/>
        </w:rPr>
        <w:t xml:space="preserve">it is also true that on top of the configured SSB transmission power by </w:t>
      </w:r>
      <w:r w:rsidR="00EF5CD5" w:rsidRPr="00EF5CD5">
        <w:rPr>
          <w:rFonts w:eastAsiaTheme="minorEastAsia"/>
          <w:i/>
        </w:rPr>
        <w:t>ss-PBCH-</w:t>
      </w:r>
      <w:proofErr w:type="spellStart"/>
      <w:r w:rsidR="00EF5CD5" w:rsidRPr="00EF5CD5">
        <w:rPr>
          <w:rFonts w:eastAsiaTheme="minorEastAsia"/>
          <w:i/>
        </w:rPr>
        <w:t>BlockPower</w:t>
      </w:r>
      <w:proofErr w:type="spellEnd"/>
      <w:r w:rsidR="00997698">
        <w:rPr>
          <w:rFonts w:eastAsiaTheme="minorEastAsia"/>
        </w:rPr>
        <w:t xml:space="preserve"> UE will have a prior information on the power ratio</w:t>
      </w:r>
      <w:r w:rsidR="00EF5CD5">
        <w:rPr>
          <w:rFonts w:eastAsiaTheme="minorEastAsia"/>
        </w:rPr>
        <w:t xml:space="preserve"> across different DL channels/signals.</w:t>
      </w:r>
    </w:p>
    <w:p w14:paraId="4E1B0A9F" w14:textId="5EF1EB75" w:rsidR="00E626BD" w:rsidRDefault="00E626BD" w:rsidP="00741C33">
      <w:pPr>
        <w:pStyle w:val="maintext"/>
        <w:ind w:firstLine="440"/>
        <w:rPr>
          <w:rFonts w:eastAsiaTheme="minorEastAsia"/>
        </w:rPr>
      </w:pPr>
      <w:r>
        <w:rPr>
          <w:rFonts w:eastAsiaTheme="minorEastAsia" w:hint="eastAsia"/>
        </w:rPr>
        <w:t>P</w:t>
      </w:r>
      <w:r>
        <w:rPr>
          <w:rFonts w:eastAsiaTheme="minorEastAsia"/>
        </w:rPr>
        <w:t xml:space="preserve">er the agreements from RAN1#106b-e meeting (i.e., </w:t>
      </w:r>
      <w:r w:rsidR="004D6CE4">
        <w:rPr>
          <w:rFonts w:eastAsiaTheme="minorEastAsia"/>
        </w:rPr>
        <w:t>“t</w:t>
      </w:r>
      <w:r w:rsidR="004D6CE4" w:rsidRPr="004D6CE4">
        <w:rPr>
          <w:rFonts w:eastAsiaTheme="minorEastAsia"/>
        </w:rPr>
        <w:t>he indicated DL TX power adjustment is not applied to SSBs</w:t>
      </w:r>
      <w:r w:rsidR="004D6CE4">
        <w:rPr>
          <w:rFonts w:eastAsiaTheme="minorEastAsia"/>
        </w:rPr>
        <w:t>”</w:t>
      </w:r>
      <w:r>
        <w:rPr>
          <w:rFonts w:eastAsiaTheme="minorEastAsia"/>
        </w:rPr>
        <w:t>)</w:t>
      </w:r>
      <w:r w:rsidR="004D6CE4">
        <w:rPr>
          <w:rFonts w:eastAsiaTheme="minorEastAsia"/>
        </w:rPr>
        <w:t xml:space="preserve">, it is clear that the IAB MT may not assume the configured </w:t>
      </w:r>
      <w:proofErr w:type="spellStart"/>
      <w:proofErr w:type="gramStart"/>
      <w:r w:rsidR="004D6CE4">
        <w:rPr>
          <w:rFonts w:eastAsiaTheme="minorEastAsia"/>
        </w:rPr>
        <w:t>Pc,SS</w:t>
      </w:r>
      <w:proofErr w:type="spellEnd"/>
      <w:proofErr w:type="gramEnd"/>
      <w:r w:rsidR="004D6CE4">
        <w:rPr>
          <w:rFonts w:eastAsiaTheme="minorEastAsia"/>
        </w:rPr>
        <w:t xml:space="preserve"> </w:t>
      </w:r>
      <w:r w:rsidR="00A84A23">
        <w:rPr>
          <w:rFonts w:eastAsiaTheme="minorEastAsia"/>
        </w:rPr>
        <w:t xml:space="preserve">for the time resources where a non-TDM multiplexing mode is configured/indicated. </w:t>
      </w:r>
    </w:p>
    <w:p w14:paraId="43423A87" w14:textId="525E20F3" w:rsidR="00E626BD" w:rsidRDefault="00E626BD" w:rsidP="00741C33">
      <w:pPr>
        <w:pStyle w:val="maintext"/>
        <w:ind w:firstLine="440"/>
        <w:rPr>
          <w:rFonts w:eastAsiaTheme="minorEastAsia"/>
        </w:rPr>
      </w:pPr>
    </w:p>
    <w:p w14:paraId="5F157770" w14:textId="47C23AFE" w:rsidR="000E6345" w:rsidRPr="002A373A" w:rsidRDefault="000E6345" w:rsidP="000E6345">
      <w:pPr>
        <w:spacing w:after="120"/>
        <w:ind w:left="330" w:hangingChars="150" w:hanging="330"/>
        <w:rPr>
          <w:b/>
        </w:rPr>
      </w:pPr>
      <w:r>
        <w:rPr>
          <w:b/>
          <w:lang w:val="en-GB"/>
        </w:rPr>
        <w:t>Observation</w:t>
      </w:r>
      <w:r w:rsidRPr="00A66E58">
        <w:rPr>
          <w:b/>
        </w:rPr>
        <w:t xml:space="preserve"> </w:t>
      </w:r>
      <w:r>
        <w:rPr>
          <w:b/>
        </w:rPr>
        <w:t>1</w:t>
      </w:r>
      <w:r w:rsidRPr="00A66E58">
        <w:rPr>
          <w:b/>
        </w:rPr>
        <w:t xml:space="preserve">: </w:t>
      </w:r>
      <w:r>
        <w:rPr>
          <w:b/>
        </w:rPr>
        <w:t xml:space="preserve">According to </w:t>
      </w:r>
      <w:r w:rsidRPr="000E6345">
        <w:rPr>
          <w:b/>
        </w:rPr>
        <w:t>the agreements from RAN1#106b-e meeting (i.e., “the indicated DL TX power adjustment is not applied to SSBs”),</w:t>
      </w:r>
      <w:r>
        <w:rPr>
          <w:b/>
        </w:rPr>
        <w:t xml:space="preserve"> t</w:t>
      </w:r>
      <w:r w:rsidRPr="000E6345">
        <w:rPr>
          <w:b/>
        </w:rPr>
        <w:t xml:space="preserve">he IAB MT may not assume the configured </w:t>
      </w:r>
      <w:proofErr w:type="spellStart"/>
      <w:proofErr w:type="gramStart"/>
      <w:r w:rsidRPr="000E6345">
        <w:rPr>
          <w:b/>
        </w:rPr>
        <w:t>Pc,SS</w:t>
      </w:r>
      <w:proofErr w:type="spellEnd"/>
      <w:proofErr w:type="gramEnd"/>
      <w:r>
        <w:rPr>
          <w:b/>
        </w:rPr>
        <w:t xml:space="preserve"> (by </w:t>
      </w:r>
      <w:proofErr w:type="spellStart"/>
      <w:r w:rsidRPr="000E6345">
        <w:rPr>
          <w:b/>
          <w:i/>
        </w:rPr>
        <w:t>powerControlOffsetSS</w:t>
      </w:r>
      <w:proofErr w:type="spellEnd"/>
      <w:r>
        <w:rPr>
          <w:b/>
        </w:rPr>
        <w:t>)</w:t>
      </w:r>
      <w:r w:rsidRPr="000E6345">
        <w:rPr>
          <w:b/>
        </w:rPr>
        <w:t xml:space="preserve"> for the time resources where a non-TDM multiplexing mode is configured/indicated</w:t>
      </w:r>
      <w:r>
        <w:rPr>
          <w:b/>
        </w:rPr>
        <w:t>.</w:t>
      </w:r>
    </w:p>
    <w:p w14:paraId="097527FD" w14:textId="77777777" w:rsidR="000E6345" w:rsidRPr="004D6CE4" w:rsidRDefault="000E6345" w:rsidP="00741C33">
      <w:pPr>
        <w:pStyle w:val="maintext"/>
        <w:ind w:firstLine="440"/>
        <w:rPr>
          <w:rFonts w:eastAsiaTheme="minorEastAsia"/>
        </w:rPr>
      </w:pPr>
    </w:p>
    <w:p w14:paraId="5B1EA533" w14:textId="5746CE1D" w:rsidR="00E626BD" w:rsidRDefault="00FF11F7" w:rsidP="00741C33">
      <w:pPr>
        <w:pStyle w:val="maintext"/>
        <w:ind w:firstLine="440"/>
        <w:rPr>
          <w:rFonts w:eastAsiaTheme="minorEastAsia"/>
        </w:rPr>
      </w:pPr>
      <w:r>
        <w:rPr>
          <w:rFonts w:eastAsiaTheme="minorEastAsia" w:hint="eastAsia"/>
        </w:rPr>
        <w:t>S</w:t>
      </w:r>
      <w:r>
        <w:rPr>
          <w:rFonts w:eastAsiaTheme="minorEastAsia"/>
        </w:rPr>
        <w:t>imilar with the SSB power assumption, UE’s/IAB MT’s assumptions on PDCCH transmission power</w:t>
      </w:r>
      <w:r w:rsidR="000E6345">
        <w:rPr>
          <w:rFonts w:eastAsiaTheme="minorEastAsia"/>
        </w:rPr>
        <w:t xml:space="preserve"> are related with a number of UE/IAB MT procedures including PDCCH hypothetical BLER calculation. In this regard, we think either of 1) similar exception on PDCCH power adjustment or 2) network choice on PDCCH power adjustment should be available.</w:t>
      </w:r>
    </w:p>
    <w:p w14:paraId="4574148A" w14:textId="213C48C0" w:rsidR="00E626BD" w:rsidRDefault="00E626BD" w:rsidP="00741C33">
      <w:pPr>
        <w:pStyle w:val="maintext"/>
        <w:ind w:firstLine="440"/>
        <w:rPr>
          <w:rFonts w:eastAsiaTheme="minorEastAsia"/>
        </w:rPr>
      </w:pPr>
    </w:p>
    <w:p w14:paraId="056C1D7B" w14:textId="29D012AD" w:rsidR="00FA2675" w:rsidRDefault="00FA2675" w:rsidP="00FA2675">
      <w:pPr>
        <w:spacing w:after="120"/>
        <w:ind w:left="330" w:hangingChars="150" w:hanging="330"/>
        <w:rPr>
          <w:b/>
        </w:rPr>
      </w:pPr>
      <w:r w:rsidRPr="00A66E58">
        <w:rPr>
          <w:rFonts w:hint="eastAsia"/>
          <w:b/>
        </w:rPr>
        <w:t>P</w:t>
      </w:r>
      <w:r w:rsidRPr="00A66E58">
        <w:rPr>
          <w:b/>
        </w:rPr>
        <w:t xml:space="preserve">roposal </w:t>
      </w:r>
      <w:r>
        <w:rPr>
          <w:b/>
        </w:rPr>
        <w:t>1</w:t>
      </w:r>
      <w:r w:rsidRPr="00A66E58">
        <w:rPr>
          <w:b/>
        </w:rPr>
        <w:t xml:space="preserve">: </w:t>
      </w:r>
      <w:r>
        <w:rPr>
          <w:b/>
        </w:rPr>
        <w:t>Support one of the following options for IAB MT’s PDCCH power assumption under the DL power adjustment:</w:t>
      </w:r>
    </w:p>
    <w:p w14:paraId="2E69321E" w14:textId="663A5187" w:rsidR="00FA2675" w:rsidRDefault="00FA2675" w:rsidP="00FA2675">
      <w:pPr>
        <w:pStyle w:val="a7"/>
        <w:numPr>
          <w:ilvl w:val="0"/>
          <w:numId w:val="27"/>
        </w:numPr>
        <w:spacing w:after="120"/>
        <w:ind w:leftChars="0"/>
        <w:rPr>
          <w:b/>
        </w:rPr>
      </w:pPr>
      <w:r>
        <w:rPr>
          <w:rFonts w:hint="eastAsia"/>
          <w:b/>
        </w:rPr>
        <w:t>O</w:t>
      </w:r>
      <w:r>
        <w:rPr>
          <w:b/>
        </w:rPr>
        <w:t>ption 1: For the time resources associated with the DL power adjustment, t</w:t>
      </w:r>
      <w:r w:rsidRPr="00FA2675">
        <w:rPr>
          <w:b/>
        </w:rPr>
        <w:t xml:space="preserve">he UE/IAB-MT may assume </w:t>
      </w:r>
      <w:bookmarkStart w:id="3" w:name="_Hlk86914952"/>
      <w:proofErr w:type="spellStart"/>
      <w:proofErr w:type="gramStart"/>
      <w:r w:rsidR="001E26A3" w:rsidRPr="001E26A3">
        <w:rPr>
          <w:b/>
        </w:rPr>
        <w:t>Pc,PDCCH</w:t>
      </w:r>
      <w:proofErr w:type="spellEnd"/>
      <w:proofErr w:type="gramEnd"/>
      <w:r w:rsidR="001E26A3" w:rsidRPr="001E26A3">
        <w:rPr>
          <w:b/>
        </w:rPr>
        <w:t xml:space="preserve"> (the assumed ratio of NZP CSI-RS EPRE to PDCCH EPRE)</w:t>
      </w:r>
      <w:bookmarkEnd w:id="3"/>
      <w:r w:rsidR="001E26A3">
        <w:rPr>
          <w:b/>
        </w:rPr>
        <w:t xml:space="preserve">, which </w:t>
      </w:r>
      <w:r w:rsidR="0028680C">
        <w:rPr>
          <w:b/>
        </w:rPr>
        <w:t>is NOT</w:t>
      </w:r>
      <w:r w:rsidR="001E26A3">
        <w:rPr>
          <w:b/>
        </w:rPr>
        <w:t xml:space="preserve"> 0 </w:t>
      </w:r>
      <w:proofErr w:type="spellStart"/>
      <w:r w:rsidR="001E26A3">
        <w:rPr>
          <w:b/>
        </w:rPr>
        <w:t>dB</w:t>
      </w:r>
      <w:r w:rsidRPr="00FA2675">
        <w:rPr>
          <w:b/>
        </w:rPr>
        <w:t>.</w:t>
      </w:r>
      <w:proofErr w:type="spellEnd"/>
    </w:p>
    <w:p w14:paraId="6C000BB6" w14:textId="2AD110CA" w:rsidR="00FA2675" w:rsidRPr="00FA2675" w:rsidRDefault="00FA2675" w:rsidP="00FA2675">
      <w:pPr>
        <w:pStyle w:val="a7"/>
        <w:numPr>
          <w:ilvl w:val="0"/>
          <w:numId w:val="27"/>
        </w:numPr>
        <w:spacing w:after="120"/>
        <w:ind w:leftChars="0"/>
        <w:rPr>
          <w:b/>
        </w:rPr>
      </w:pPr>
      <w:r>
        <w:rPr>
          <w:rFonts w:hint="eastAsia"/>
          <w:b/>
        </w:rPr>
        <w:t>O</w:t>
      </w:r>
      <w:r>
        <w:rPr>
          <w:b/>
        </w:rPr>
        <w:t xml:space="preserve">ption 2: </w:t>
      </w:r>
      <w:r w:rsidR="006B01AA">
        <w:rPr>
          <w:b/>
        </w:rPr>
        <w:t xml:space="preserve">Introduce a higher-layer parameter to configure </w:t>
      </w:r>
      <w:proofErr w:type="spellStart"/>
      <w:proofErr w:type="gramStart"/>
      <w:r w:rsidR="006B01AA" w:rsidRPr="006B01AA">
        <w:rPr>
          <w:b/>
        </w:rPr>
        <w:t>Pc,PDCCH</w:t>
      </w:r>
      <w:proofErr w:type="spellEnd"/>
      <w:proofErr w:type="gramEnd"/>
      <w:r w:rsidR="006B01AA" w:rsidRPr="006B01AA">
        <w:rPr>
          <w:b/>
        </w:rPr>
        <w:t xml:space="preserve"> (the assumed ratio of NZP CSI-RS EPRE to PDCCH EPRE)</w:t>
      </w:r>
      <w:r w:rsidR="006B01AA">
        <w:rPr>
          <w:b/>
        </w:rPr>
        <w:t xml:space="preserve"> f</w:t>
      </w:r>
      <w:r w:rsidR="006B01AA" w:rsidRPr="006B01AA">
        <w:rPr>
          <w:b/>
        </w:rPr>
        <w:t>or the time resources associated with the DL power adjustment</w:t>
      </w:r>
      <w:r w:rsidR="006B01AA">
        <w:rPr>
          <w:b/>
        </w:rPr>
        <w:t>.</w:t>
      </w:r>
    </w:p>
    <w:p w14:paraId="270CAC47" w14:textId="77777777" w:rsidR="00E626BD" w:rsidRDefault="00E626BD" w:rsidP="00741C33">
      <w:pPr>
        <w:pStyle w:val="maintext"/>
        <w:ind w:firstLine="440"/>
        <w:rPr>
          <w:rFonts w:eastAsiaTheme="minorEastAsia"/>
        </w:rPr>
      </w:pPr>
    </w:p>
    <w:p w14:paraId="40F678E7" w14:textId="62B03205" w:rsidR="00B007CA" w:rsidRDefault="003F2232" w:rsidP="00E673D1">
      <w:pPr>
        <w:pStyle w:val="maintext"/>
        <w:ind w:firstLine="440"/>
        <w:rPr>
          <w:rFonts w:eastAsiaTheme="minorEastAsia"/>
        </w:rPr>
      </w:pPr>
      <w:r>
        <w:rPr>
          <w:rFonts w:eastAsiaTheme="minorEastAsia"/>
        </w:rPr>
        <w:lastRenderedPageBreak/>
        <w:fldChar w:fldCharType="begin"/>
      </w:r>
      <w:r>
        <w:rPr>
          <w:rFonts w:eastAsiaTheme="minorEastAsia"/>
        </w:rPr>
        <w:instrText xml:space="preserve"> REF _Ref61282553 \h </w:instrText>
      </w:r>
      <w:r>
        <w:rPr>
          <w:rFonts w:eastAsiaTheme="minorEastAsia"/>
        </w:rPr>
      </w:r>
      <w:r>
        <w:rPr>
          <w:rFonts w:eastAsiaTheme="minorEastAsia"/>
        </w:rPr>
        <w:fldChar w:fldCharType="separate"/>
      </w:r>
      <w:r w:rsidR="00CE07C0">
        <w:t xml:space="preserve">Figure </w:t>
      </w:r>
      <w:r w:rsidR="00CE07C0">
        <w:rPr>
          <w:noProof/>
        </w:rPr>
        <w:t>1</w:t>
      </w:r>
      <w:r>
        <w:rPr>
          <w:rFonts w:eastAsiaTheme="minorEastAsia"/>
        </w:rPr>
        <w:fldChar w:fldCharType="end"/>
      </w:r>
      <w:r>
        <w:rPr>
          <w:rFonts w:eastAsiaTheme="minorEastAsia"/>
        </w:rPr>
        <w:t xml:space="preserve"> shows an example of such assumptions on DL power ratio according to the corresponding signalling. </w:t>
      </w:r>
      <w:r w:rsidR="005B2CCC">
        <w:rPr>
          <w:rFonts w:eastAsiaTheme="minorEastAsia"/>
        </w:rPr>
        <w:t xml:space="preserve">Since the relationships in </w:t>
      </w:r>
      <w:r w:rsidR="005B2CCC">
        <w:rPr>
          <w:rFonts w:eastAsiaTheme="minorEastAsia"/>
        </w:rPr>
        <w:fldChar w:fldCharType="begin"/>
      </w:r>
      <w:r w:rsidR="005B2CCC">
        <w:rPr>
          <w:rFonts w:eastAsiaTheme="minorEastAsia"/>
        </w:rPr>
        <w:instrText xml:space="preserve"> REF _Ref61282553 \h </w:instrText>
      </w:r>
      <w:r w:rsidR="005B2CCC">
        <w:rPr>
          <w:rFonts w:eastAsiaTheme="minorEastAsia"/>
        </w:rPr>
      </w:r>
      <w:r w:rsidR="005B2CCC">
        <w:rPr>
          <w:rFonts w:eastAsiaTheme="minorEastAsia"/>
        </w:rPr>
        <w:fldChar w:fldCharType="separate"/>
      </w:r>
      <w:r w:rsidR="00CE07C0">
        <w:t xml:space="preserve">Figure </w:t>
      </w:r>
      <w:r w:rsidR="00CE07C0">
        <w:rPr>
          <w:noProof/>
        </w:rPr>
        <w:t>1</w:t>
      </w:r>
      <w:r w:rsidR="005B2CCC">
        <w:rPr>
          <w:rFonts w:eastAsiaTheme="minorEastAsia"/>
        </w:rPr>
        <w:fldChar w:fldCharType="end"/>
      </w:r>
      <w:r w:rsidR="005B2CCC">
        <w:rPr>
          <w:rFonts w:eastAsiaTheme="minorEastAsia"/>
        </w:rPr>
        <w:t xml:space="preserve"> are semi-statically configured, when the transmission power of one of DL channels/signals including SSB, PDCCH, CSI-RS or PDSCH, </w:t>
      </w:r>
      <w:r w:rsidR="002E6AC0">
        <w:rPr>
          <w:rFonts w:eastAsiaTheme="minorEastAsia"/>
        </w:rPr>
        <w:t xml:space="preserve">the UE (or IAB-MT) may be able to assume that the transmission powers of all the other DL channels/signals associated with the adjusted one are automatically changed as well. </w:t>
      </w:r>
      <w:r w:rsidR="00D51185">
        <w:rPr>
          <w:rFonts w:eastAsiaTheme="minorEastAsia"/>
        </w:rPr>
        <w:t xml:space="preserve">Since such automatic associations are related with a bunch of UE/MT procedures including CSI feedback, </w:t>
      </w:r>
      <w:r w:rsidR="00E51A6F">
        <w:rPr>
          <w:rFonts w:eastAsiaTheme="minorEastAsia"/>
        </w:rPr>
        <w:t xml:space="preserve">beam management, etc., it should be clearly clarified which type of options will be applied for IAB DL power control. </w:t>
      </w:r>
      <w:r w:rsidR="00F07664">
        <w:rPr>
          <w:rFonts w:eastAsiaTheme="minorEastAsia"/>
        </w:rPr>
        <w:t>From our perspective, per DL channel/signal DL power control through an additional set of power ratio parameters</w:t>
      </w:r>
      <w:r w:rsidR="005E71D8">
        <w:rPr>
          <w:rFonts w:eastAsiaTheme="minorEastAsia"/>
        </w:rPr>
        <w:t xml:space="preserve"> that covers time duration for simultaneous operation</w:t>
      </w:r>
      <w:r w:rsidR="00F07664">
        <w:rPr>
          <w:rFonts w:eastAsiaTheme="minorEastAsia"/>
        </w:rPr>
        <w:t xml:space="preserve"> is preferred. </w:t>
      </w:r>
      <w:r w:rsidR="008455B0">
        <w:rPr>
          <w:rFonts w:eastAsiaTheme="minorEastAsia"/>
        </w:rPr>
        <w:t xml:space="preserve">Consequently, </w:t>
      </w:r>
      <w:r w:rsidR="00D549B7">
        <w:rPr>
          <w:rFonts w:eastAsiaTheme="minorEastAsia"/>
        </w:rPr>
        <w:t xml:space="preserve">IAB network can choose either to </w:t>
      </w:r>
      <w:r w:rsidR="00A70E69">
        <w:rPr>
          <w:rFonts w:eastAsiaTheme="minorEastAsia"/>
        </w:rPr>
        <w:t>maintain the coverage of cell-specific channels/signals or to adjust transmission power of whole DL channels/signals for interference reduction.</w:t>
      </w:r>
      <w:r w:rsidR="00E86D72">
        <w:rPr>
          <w:rFonts w:eastAsiaTheme="minorEastAsia"/>
        </w:rPr>
        <w:t xml:space="preserve"> </w:t>
      </w:r>
      <w:r w:rsidR="00B007CA">
        <w:rPr>
          <w:rFonts w:eastAsiaTheme="minorEastAsia"/>
        </w:rPr>
        <w:t xml:space="preserve">To clearly clarify the legacy behaviours/procedures during the time resources associated with the DL power adjustment, it should be explicitly noted that </w:t>
      </w:r>
      <w:r w:rsidR="00B007CA" w:rsidRPr="00B007CA">
        <w:rPr>
          <w:rFonts w:eastAsiaTheme="minorEastAsia"/>
        </w:rPr>
        <w:t>the UE/IAB-MT may assume the same DL power adjustment according to the QCL/TCI chain rule</w:t>
      </w:r>
      <w:r w:rsidR="00B007CA">
        <w:rPr>
          <w:rFonts w:eastAsiaTheme="minorEastAsia"/>
        </w:rPr>
        <w:t>.</w:t>
      </w:r>
    </w:p>
    <w:p w14:paraId="062BA2CB" w14:textId="77777777" w:rsidR="00B007CA" w:rsidRDefault="00B007CA" w:rsidP="00E673D1">
      <w:pPr>
        <w:pStyle w:val="maintext"/>
        <w:ind w:firstLine="440"/>
        <w:rPr>
          <w:rFonts w:eastAsiaTheme="minorEastAsia"/>
        </w:rPr>
      </w:pPr>
    </w:p>
    <w:p w14:paraId="0013C03A" w14:textId="735C3F3A" w:rsidR="00B007CA" w:rsidRDefault="00B007CA" w:rsidP="00B007CA">
      <w:pPr>
        <w:spacing w:after="120"/>
        <w:ind w:left="330" w:hangingChars="150" w:hanging="330"/>
        <w:rPr>
          <w:b/>
        </w:rPr>
      </w:pPr>
      <w:r>
        <w:rPr>
          <w:b/>
        </w:rPr>
        <w:t>Proposal</w:t>
      </w:r>
      <w:r w:rsidRPr="00537782">
        <w:rPr>
          <w:b/>
        </w:rPr>
        <w:t xml:space="preserve"> </w:t>
      </w:r>
      <w:r>
        <w:rPr>
          <w:b/>
        </w:rPr>
        <w:t>2</w:t>
      </w:r>
      <w:r w:rsidRPr="00537782">
        <w:rPr>
          <w:b/>
        </w:rPr>
        <w:t xml:space="preserve">: </w:t>
      </w:r>
      <w:r>
        <w:rPr>
          <w:b/>
        </w:rPr>
        <w:t xml:space="preserve">Support different DL power adjustments for the following signals/channels to </w:t>
      </w:r>
      <w:r w:rsidRPr="00F850AC">
        <w:rPr>
          <w:b/>
        </w:rPr>
        <w:t>handl</w:t>
      </w:r>
      <w:r>
        <w:rPr>
          <w:b/>
        </w:rPr>
        <w:t>e the</w:t>
      </w:r>
      <w:r w:rsidRPr="00F850AC">
        <w:rPr>
          <w:b/>
        </w:rPr>
        <w:t xml:space="preserve"> cell-specific or semi-static signals/channels</w:t>
      </w:r>
      <w:r>
        <w:rPr>
          <w:b/>
        </w:rPr>
        <w:t>.</w:t>
      </w:r>
    </w:p>
    <w:p w14:paraId="10C21BC8" w14:textId="623BDEB1" w:rsidR="00B007CA" w:rsidRDefault="00B007CA" w:rsidP="00B007CA">
      <w:pPr>
        <w:pStyle w:val="a7"/>
        <w:numPr>
          <w:ilvl w:val="0"/>
          <w:numId w:val="26"/>
        </w:numPr>
        <w:spacing w:after="120"/>
        <w:ind w:leftChars="0"/>
        <w:rPr>
          <w:b/>
        </w:rPr>
      </w:pPr>
      <w:r>
        <w:rPr>
          <w:rFonts w:hint="eastAsia"/>
          <w:b/>
        </w:rPr>
        <w:t>S</w:t>
      </w:r>
      <w:r>
        <w:rPr>
          <w:b/>
        </w:rPr>
        <w:t>SB (already agreed as not to apply the DL power adjustment)</w:t>
      </w:r>
    </w:p>
    <w:p w14:paraId="01B08FAB" w14:textId="58F18C4B" w:rsidR="00B007CA" w:rsidRDefault="00B007CA" w:rsidP="00B007CA">
      <w:pPr>
        <w:pStyle w:val="a7"/>
        <w:numPr>
          <w:ilvl w:val="0"/>
          <w:numId w:val="26"/>
        </w:numPr>
        <w:spacing w:after="120"/>
        <w:ind w:leftChars="0"/>
        <w:rPr>
          <w:b/>
        </w:rPr>
      </w:pPr>
      <w:r>
        <w:rPr>
          <w:rFonts w:hint="eastAsia"/>
          <w:b/>
        </w:rPr>
        <w:t>P</w:t>
      </w:r>
      <w:r>
        <w:rPr>
          <w:b/>
        </w:rPr>
        <w:t>DCCH</w:t>
      </w:r>
      <w:r w:rsidR="0028680C">
        <w:rPr>
          <w:b/>
        </w:rPr>
        <w:t xml:space="preserve"> DMRS</w:t>
      </w:r>
      <w:r>
        <w:rPr>
          <w:b/>
        </w:rPr>
        <w:t xml:space="preserve"> (per the proposal 1 above)</w:t>
      </w:r>
    </w:p>
    <w:p w14:paraId="6D84433E" w14:textId="5C792BD2" w:rsidR="00B007CA" w:rsidRDefault="00B007CA" w:rsidP="00B007CA">
      <w:pPr>
        <w:pStyle w:val="a7"/>
        <w:numPr>
          <w:ilvl w:val="0"/>
          <w:numId w:val="26"/>
        </w:numPr>
        <w:spacing w:after="120"/>
        <w:ind w:leftChars="0"/>
        <w:rPr>
          <w:b/>
        </w:rPr>
      </w:pPr>
      <w:r>
        <w:rPr>
          <w:rFonts w:hint="eastAsia"/>
          <w:b/>
        </w:rPr>
        <w:t>C</w:t>
      </w:r>
      <w:r>
        <w:rPr>
          <w:b/>
        </w:rPr>
        <w:t>SI-RS</w:t>
      </w:r>
      <w:r w:rsidR="0028680C">
        <w:rPr>
          <w:b/>
        </w:rPr>
        <w:t xml:space="preserve"> (based on TCI state ID or RS ID)</w:t>
      </w:r>
    </w:p>
    <w:p w14:paraId="06148B0C" w14:textId="02FE8EA9" w:rsidR="00B007CA" w:rsidRPr="004B1784" w:rsidRDefault="00B007CA" w:rsidP="00B007CA">
      <w:pPr>
        <w:pStyle w:val="a7"/>
        <w:numPr>
          <w:ilvl w:val="0"/>
          <w:numId w:val="26"/>
        </w:numPr>
        <w:spacing w:after="120"/>
        <w:ind w:leftChars="0"/>
        <w:rPr>
          <w:b/>
        </w:rPr>
      </w:pPr>
      <w:r>
        <w:rPr>
          <w:rFonts w:hint="eastAsia"/>
          <w:b/>
        </w:rPr>
        <w:t>P</w:t>
      </w:r>
      <w:r>
        <w:rPr>
          <w:b/>
        </w:rPr>
        <w:t>DSCH DMRS</w:t>
      </w:r>
      <w:r w:rsidR="0028680C">
        <w:rPr>
          <w:b/>
        </w:rPr>
        <w:t xml:space="preserve"> (based on TCI state ID or QCL/TCI chain rule)</w:t>
      </w:r>
    </w:p>
    <w:p w14:paraId="238F3E37" w14:textId="45A00358" w:rsidR="001A61AC" w:rsidRDefault="001A61AC" w:rsidP="00E673D1">
      <w:pPr>
        <w:pStyle w:val="maintext"/>
        <w:ind w:firstLine="440"/>
        <w:rPr>
          <w:rFonts w:eastAsiaTheme="minorEastAsia"/>
        </w:rPr>
      </w:pPr>
    </w:p>
    <w:p w14:paraId="2EF9B9A4" w14:textId="21C415A0" w:rsidR="00D57F4C" w:rsidRDefault="0028680C" w:rsidP="0028680C">
      <w:pPr>
        <w:spacing w:after="120"/>
        <w:ind w:left="330" w:hangingChars="150" w:hanging="330"/>
      </w:pPr>
      <w:r w:rsidRPr="00A66E58">
        <w:rPr>
          <w:rFonts w:hint="eastAsia"/>
          <w:b/>
        </w:rPr>
        <w:t>P</w:t>
      </w:r>
      <w:r w:rsidRPr="00A66E58">
        <w:rPr>
          <w:b/>
        </w:rPr>
        <w:t xml:space="preserve">roposal </w:t>
      </w:r>
      <w:r>
        <w:rPr>
          <w:b/>
        </w:rPr>
        <w:t>3</w:t>
      </w:r>
      <w:r w:rsidRPr="00A66E58">
        <w:rPr>
          <w:b/>
        </w:rPr>
        <w:t xml:space="preserve">: </w:t>
      </w:r>
      <w:r>
        <w:rPr>
          <w:b/>
        </w:rPr>
        <w:t>T</w:t>
      </w:r>
      <w:r w:rsidRPr="00585647">
        <w:rPr>
          <w:b/>
        </w:rPr>
        <w:t>he UE</w:t>
      </w:r>
      <w:r>
        <w:rPr>
          <w:b/>
        </w:rPr>
        <w:t>/IAB-MT</w:t>
      </w:r>
      <w:r w:rsidRPr="00585647">
        <w:rPr>
          <w:b/>
        </w:rPr>
        <w:t xml:space="preserve"> may assume the same DL power adjustment according to the QCL/TCI chain rule</w:t>
      </w:r>
      <w:r>
        <w:rPr>
          <w:b/>
        </w:rPr>
        <w:t>.</w:t>
      </w:r>
    </w:p>
    <w:p w14:paraId="51B5D293" w14:textId="77777777" w:rsidR="00BE5069" w:rsidRDefault="00BE5069" w:rsidP="00BE5069">
      <w:pPr>
        <w:pStyle w:val="maintext"/>
        <w:ind w:firstLineChars="0" w:firstLine="0"/>
        <w:rPr>
          <w:rFonts w:eastAsiaTheme="minorEastAsia"/>
        </w:rPr>
      </w:pPr>
    </w:p>
    <w:p w14:paraId="11A21157" w14:textId="77777777" w:rsidR="00FA3042" w:rsidRDefault="00FA3042" w:rsidP="00FA3042">
      <w:pPr>
        <w:pStyle w:val="maintext"/>
        <w:keepNext/>
        <w:ind w:firstLine="440"/>
        <w:jc w:val="center"/>
      </w:pPr>
      <w:r>
        <w:rPr>
          <w:rFonts w:eastAsiaTheme="minorEastAsia"/>
          <w:noProof/>
        </w:rPr>
        <w:drawing>
          <wp:inline distT="0" distB="0" distL="0" distR="0" wp14:anchorId="576CE3CB" wp14:editId="77736973">
            <wp:extent cx="3798000" cy="3038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8000" cy="3038400"/>
                    </a:xfrm>
                    <a:prstGeom prst="rect">
                      <a:avLst/>
                    </a:prstGeom>
                    <a:noFill/>
                  </pic:spPr>
                </pic:pic>
              </a:graphicData>
            </a:graphic>
          </wp:inline>
        </w:drawing>
      </w:r>
    </w:p>
    <w:p w14:paraId="70E0E31E" w14:textId="70DB554F" w:rsidR="00FA3042" w:rsidRDefault="00FA3042" w:rsidP="00FA3042">
      <w:pPr>
        <w:pStyle w:val="a8"/>
        <w:spacing w:after="120"/>
        <w:jc w:val="center"/>
      </w:pPr>
      <w:bookmarkStart w:id="4" w:name="_Ref61282553"/>
      <w:r>
        <w:t xml:space="preserve">Figure </w:t>
      </w:r>
      <w:fldSimple w:instr=" SEQ Figure \* ARABIC ">
        <w:r w:rsidR="00CE07C0">
          <w:rPr>
            <w:noProof/>
          </w:rPr>
          <w:t>1</w:t>
        </w:r>
      </w:fldSimple>
      <w:bookmarkEnd w:id="4"/>
      <w:r>
        <w:t>. An example of DL power ratio signaling across DL signals/channels</w:t>
      </w:r>
    </w:p>
    <w:p w14:paraId="7ADE1C6A" w14:textId="77777777" w:rsidR="003E5F08" w:rsidRDefault="003E5F08" w:rsidP="002D4B81">
      <w:pPr>
        <w:pStyle w:val="maintext"/>
        <w:ind w:firstLine="440"/>
        <w:rPr>
          <w:rFonts w:eastAsiaTheme="minorEastAsia"/>
        </w:rPr>
      </w:pPr>
    </w:p>
    <w:p w14:paraId="1113E6BC" w14:textId="0E1900EE" w:rsidR="0056327D" w:rsidRDefault="00C27E55" w:rsidP="002D4B81">
      <w:pPr>
        <w:pStyle w:val="maintext"/>
        <w:ind w:firstLine="440"/>
        <w:rPr>
          <w:rFonts w:eastAsiaTheme="minorEastAsia"/>
        </w:rPr>
      </w:pPr>
      <w:r>
        <w:rPr>
          <w:rFonts w:eastAsiaTheme="minorEastAsia"/>
        </w:rPr>
        <w:lastRenderedPageBreak/>
        <w:fldChar w:fldCharType="begin"/>
      </w:r>
      <w:r>
        <w:rPr>
          <w:rFonts w:eastAsiaTheme="minorEastAsia"/>
        </w:rPr>
        <w:instrText xml:space="preserve"> REF _Ref71562471 \h </w:instrText>
      </w:r>
      <w:r>
        <w:rPr>
          <w:rFonts w:eastAsiaTheme="minorEastAsia"/>
        </w:rPr>
      </w:r>
      <w:r>
        <w:rPr>
          <w:rFonts w:eastAsiaTheme="minorEastAsia"/>
        </w:rPr>
        <w:fldChar w:fldCharType="separate"/>
      </w:r>
      <w:r w:rsidR="00CE07C0">
        <w:t xml:space="preserve">Figure </w:t>
      </w:r>
      <w:r w:rsidR="00CE07C0">
        <w:rPr>
          <w:noProof/>
        </w:rPr>
        <w:t>2</w:t>
      </w:r>
      <w:r>
        <w:rPr>
          <w:rFonts w:eastAsiaTheme="minorEastAsia"/>
        </w:rPr>
        <w:fldChar w:fldCharType="end"/>
      </w:r>
      <w:r>
        <w:rPr>
          <w:rFonts w:eastAsiaTheme="minorEastAsia"/>
        </w:rPr>
        <w:t xml:space="preserve"> represents the relationship between “DL power control assist information (agreed </w:t>
      </w:r>
      <w:r w:rsidR="00745AE8">
        <w:rPr>
          <w:rFonts w:eastAsiaTheme="minorEastAsia"/>
        </w:rPr>
        <w:t>as</w:t>
      </w:r>
      <w:r>
        <w:rPr>
          <w:rFonts w:eastAsiaTheme="minorEastAsia"/>
        </w:rPr>
        <w:t xml:space="preserve"> </w:t>
      </w:r>
      <w:r w:rsidR="00745AE8" w:rsidRPr="00745AE8">
        <w:rPr>
          <w:rFonts w:eastAsiaTheme="minorEastAsia"/>
        </w:rPr>
        <w:t>desired power adjustment</w:t>
      </w:r>
      <w:r>
        <w:rPr>
          <w:rFonts w:eastAsiaTheme="minorEastAsia"/>
        </w:rPr>
        <w:t>)” and “the enhanced DL power control signalling (</w:t>
      </w:r>
      <w:r w:rsidR="00745AE8">
        <w:rPr>
          <w:rFonts w:eastAsiaTheme="minorEastAsia"/>
        </w:rPr>
        <w:t xml:space="preserve">agreed as </w:t>
      </w:r>
      <w:r w:rsidR="00745AE8" w:rsidRPr="00745AE8">
        <w:rPr>
          <w:rFonts w:eastAsiaTheme="minorEastAsia"/>
        </w:rPr>
        <w:t>DL TX power adjustment indication</w:t>
      </w:r>
      <w:r>
        <w:rPr>
          <w:rFonts w:eastAsiaTheme="minorEastAsia"/>
        </w:rPr>
        <w:t xml:space="preserve">)”. </w:t>
      </w:r>
      <w:r w:rsidR="00387667">
        <w:rPr>
          <w:rFonts w:eastAsiaTheme="minorEastAsia"/>
        </w:rPr>
        <w:t xml:space="preserve">As shown by </w:t>
      </w:r>
      <w:r w:rsidR="00387667">
        <w:rPr>
          <w:rFonts w:eastAsiaTheme="minorEastAsia"/>
        </w:rPr>
        <w:fldChar w:fldCharType="begin"/>
      </w:r>
      <w:r w:rsidR="00387667">
        <w:rPr>
          <w:rFonts w:eastAsiaTheme="minorEastAsia"/>
        </w:rPr>
        <w:instrText xml:space="preserve"> REF _Ref71562471 \h </w:instrText>
      </w:r>
      <w:r w:rsidR="00387667">
        <w:rPr>
          <w:rFonts w:eastAsiaTheme="minorEastAsia"/>
        </w:rPr>
      </w:r>
      <w:r w:rsidR="00387667">
        <w:rPr>
          <w:rFonts w:eastAsiaTheme="minorEastAsia"/>
        </w:rPr>
        <w:fldChar w:fldCharType="separate"/>
      </w:r>
      <w:r w:rsidR="00CE07C0">
        <w:t xml:space="preserve">Figure </w:t>
      </w:r>
      <w:r w:rsidR="00CE07C0">
        <w:rPr>
          <w:noProof/>
        </w:rPr>
        <w:t>2</w:t>
      </w:r>
      <w:r w:rsidR="00387667">
        <w:rPr>
          <w:rFonts w:eastAsiaTheme="minorEastAsia"/>
        </w:rPr>
        <w:fldChar w:fldCharType="end"/>
      </w:r>
      <w:r w:rsidR="00387667">
        <w:rPr>
          <w:rFonts w:eastAsiaTheme="minorEastAsia"/>
        </w:rPr>
        <w:t xml:space="preserve">, a parent node may help the IAB node to perform simultaneous operation by reducing its downlink transmission power according to the assist information from the IAB node. However, taking the coverage into account, the parent node may not want to decrease the downlink transmission power </w:t>
      </w:r>
      <w:r w:rsidR="00EC2C80">
        <w:rPr>
          <w:rFonts w:eastAsiaTheme="minorEastAsia"/>
        </w:rPr>
        <w:t xml:space="preserve">through all the transmission duration. In this case, the additional power ratio parameters as proposed above </w:t>
      </w:r>
      <w:r w:rsidR="00D30C97">
        <w:rPr>
          <w:rFonts w:eastAsiaTheme="minorEastAsia"/>
        </w:rPr>
        <w:t xml:space="preserve">can </w:t>
      </w:r>
      <w:r w:rsidR="00EC2C80">
        <w:rPr>
          <w:rFonts w:eastAsiaTheme="minorEastAsia"/>
        </w:rPr>
        <w:t xml:space="preserve">enable the selective </w:t>
      </w:r>
      <w:r w:rsidR="00D30C97">
        <w:rPr>
          <w:rFonts w:eastAsiaTheme="minorEastAsia"/>
        </w:rPr>
        <w:t>downlink power adjustment and therefore provide better trade-off between simultaneous operation performance and coverage.</w:t>
      </w:r>
    </w:p>
    <w:p w14:paraId="704552D8" w14:textId="77777777" w:rsidR="0028680C" w:rsidRDefault="0028680C" w:rsidP="002D4B81">
      <w:pPr>
        <w:pStyle w:val="maintext"/>
        <w:ind w:firstLine="440"/>
        <w:rPr>
          <w:rFonts w:eastAsiaTheme="minorEastAsia"/>
        </w:rPr>
      </w:pPr>
    </w:p>
    <w:p w14:paraId="2591CC50" w14:textId="77777777" w:rsidR="00C27E55" w:rsidRDefault="00C27E55" w:rsidP="00C27E55">
      <w:pPr>
        <w:pStyle w:val="maintext"/>
        <w:keepNext/>
        <w:ind w:firstLineChars="90" w:firstLine="198"/>
        <w:jc w:val="center"/>
      </w:pPr>
      <w:r>
        <w:rPr>
          <w:rFonts w:eastAsiaTheme="minorEastAsia"/>
          <w:noProof/>
        </w:rPr>
        <w:drawing>
          <wp:inline distT="0" distB="0" distL="0" distR="0" wp14:anchorId="58E94F45" wp14:editId="67331FF8">
            <wp:extent cx="6318000" cy="31068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8000" cy="3106800"/>
                    </a:xfrm>
                    <a:prstGeom prst="rect">
                      <a:avLst/>
                    </a:prstGeom>
                    <a:noFill/>
                  </pic:spPr>
                </pic:pic>
              </a:graphicData>
            </a:graphic>
          </wp:inline>
        </w:drawing>
      </w:r>
    </w:p>
    <w:p w14:paraId="607F8366" w14:textId="2E882500" w:rsidR="0056327D" w:rsidRDefault="00C27E55" w:rsidP="00C27E55">
      <w:pPr>
        <w:pStyle w:val="a8"/>
        <w:spacing w:after="120"/>
        <w:jc w:val="center"/>
      </w:pPr>
      <w:bookmarkStart w:id="5" w:name="_Ref71562471"/>
      <w:r>
        <w:t xml:space="preserve">Figure </w:t>
      </w:r>
      <w:r w:rsidR="002B1F96">
        <w:fldChar w:fldCharType="begin"/>
      </w:r>
      <w:r w:rsidR="002B1F96">
        <w:instrText xml:space="preserve"> SEQ Figure \* ARABIC </w:instrText>
      </w:r>
      <w:r w:rsidR="002B1F96">
        <w:fldChar w:fldCharType="separate"/>
      </w:r>
      <w:r w:rsidR="00CE07C0">
        <w:rPr>
          <w:noProof/>
        </w:rPr>
        <w:t>2</w:t>
      </w:r>
      <w:r w:rsidR="002B1F96">
        <w:rPr>
          <w:noProof/>
        </w:rPr>
        <w:fldChar w:fldCharType="end"/>
      </w:r>
      <w:bookmarkEnd w:id="5"/>
      <w:r>
        <w:t>. Relationship between the DL PC assist information and the enhanced DL PC signaling.</w:t>
      </w:r>
    </w:p>
    <w:p w14:paraId="380046A5" w14:textId="77777777" w:rsidR="0028680C" w:rsidRPr="0028680C" w:rsidRDefault="0028680C" w:rsidP="0028680C">
      <w:pPr>
        <w:spacing w:after="120"/>
      </w:pPr>
    </w:p>
    <w:p w14:paraId="3C5EC8E2" w14:textId="1AC72CD7" w:rsidR="00D57F4C" w:rsidRPr="00E673D1" w:rsidRDefault="00D57F4C" w:rsidP="00D57F4C">
      <w:pPr>
        <w:pStyle w:val="2"/>
        <w:spacing w:after="120"/>
      </w:pPr>
      <w:r>
        <w:rPr>
          <w:rFonts w:hint="eastAsia"/>
        </w:rPr>
        <w:t>I</w:t>
      </w:r>
      <w:r>
        <w:t>AB UL TX power control</w:t>
      </w:r>
    </w:p>
    <w:p w14:paraId="24DFB3CA" w14:textId="3A79E36D" w:rsidR="00321EDD" w:rsidRPr="009A76BB" w:rsidRDefault="00321EDD" w:rsidP="00321EDD">
      <w:pPr>
        <w:pStyle w:val="maintext"/>
        <w:ind w:firstLine="440"/>
      </w:pPr>
      <w:r>
        <w:rPr>
          <w:rFonts w:hint="eastAsia"/>
        </w:rPr>
        <w:t>T</w:t>
      </w:r>
      <w:r>
        <w:t xml:space="preserve">he following agreements and FFS points on IAB UL Tx power control had been made </w:t>
      </w:r>
      <w:r>
        <w:fldChar w:fldCharType="begin"/>
      </w:r>
      <w:r>
        <w:instrText xml:space="preserve"> REF _Ref78979756 \r \h </w:instrText>
      </w:r>
      <w:r>
        <w:fldChar w:fldCharType="separate"/>
      </w:r>
      <w:r>
        <w:t>[1]</w:t>
      </w:r>
      <w:r>
        <w:fldChar w:fldCharType="end"/>
      </w:r>
      <w:r>
        <w:t>:</w:t>
      </w:r>
    </w:p>
    <w:tbl>
      <w:tblPr>
        <w:tblStyle w:val="a6"/>
        <w:tblW w:w="0" w:type="auto"/>
        <w:tblLook w:val="04A0" w:firstRow="1" w:lastRow="0" w:firstColumn="1" w:lastColumn="0" w:noHBand="0" w:noVBand="1"/>
      </w:tblPr>
      <w:tblGrid>
        <w:gridCol w:w="9736"/>
      </w:tblGrid>
      <w:tr w:rsidR="00321EDD" w:rsidRPr="00A35E1D" w14:paraId="05A00E8B" w14:textId="77777777" w:rsidTr="004B3F8F">
        <w:tc>
          <w:tcPr>
            <w:tcW w:w="9736" w:type="dxa"/>
          </w:tcPr>
          <w:p w14:paraId="35011105" w14:textId="77777777" w:rsidR="00321EDD" w:rsidRPr="00321EDD" w:rsidRDefault="00321EDD" w:rsidP="004B3F8F">
            <w:pPr>
              <w:widowControl/>
              <w:wordWrap/>
              <w:autoSpaceDE/>
              <w:autoSpaceDN/>
              <w:spacing w:afterLines="0" w:after="0"/>
              <w:jc w:val="left"/>
              <w:rPr>
                <w:rFonts w:ascii="Times" w:eastAsia="바탕" w:hAnsi="Times" w:cs="Times"/>
                <w:sz w:val="20"/>
                <w:szCs w:val="20"/>
                <w:lang w:val="en-GB" w:eastAsia="x-none"/>
              </w:rPr>
            </w:pPr>
          </w:p>
          <w:p w14:paraId="121312A8" w14:textId="77777777" w:rsidR="00321EDD" w:rsidRPr="00321EDD" w:rsidRDefault="00321EDD" w:rsidP="00321EDD">
            <w:pPr>
              <w:widowControl/>
              <w:wordWrap/>
              <w:autoSpaceDE/>
              <w:autoSpaceDN/>
              <w:spacing w:afterLines="0" w:after="0"/>
              <w:jc w:val="left"/>
              <w:rPr>
                <w:rFonts w:ascii="Times" w:eastAsia="바탕" w:hAnsi="Times"/>
                <w:b/>
                <w:bCs/>
                <w:sz w:val="20"/>
                <w:szCs w:val="24"/>
                <w:highlight w:val="green"/>
                <w:lang w:val="en-GB" w:eastAsia="en-US"/>
              </w:rPr>
            </w:pPr>
            <w:r w:rsidRPr="00321EDD">
              <w:rPr>
                <w:rFonts w:ascii="Times" w:eastAsia="바탕" w:hAnsi="Times"/>
                <w:b/>
                <w:bCs/>
                <w:sz w:val="20"/>
                <w:szCs w:val="24"/>
                <w:highlight w:val="green"/>
                <w:lang w:val="en-GB" w:eastAsia="en-US"/>
              </w:rPr>
              <w:t>Agreement</w:t>
            </w:r>
          </w:p>
          <w:p w14:paraId="00BF7B25" w14:textId="77777777" w:rsidR="00321EDD" w:rsidRPr="00321EDD" w:rsidRDefault="00321EDD" w:rsidP="00321EDD">
            <w:pPr>
              <w:widowControl/>
              <w:wordWrap/>
              <w:autoSpaceDE/>
              <w:autoSpaceDN/>
              <w:spacing w:afterLines="0" w:after="0"/>
              <w:jc w:val="left"/>
              <w:rPr>
                <w:rFonts w:ascii="Times" w:eastAsia="맑은 고딕" w:hAnsi="Times" w:cs="Times"/>
                <w:b/>
                <w:sz w:val="20"/>
                <w:szCs w:val="20"/>
              </w:rPr>
            </w:pPr>
            <w:r w:rsidRPr="00321EDD">
              <w:rPr>
                <w:rFonts w:ascii="Times" w:eastAsia="맑은 고딕" w:hAnsi="Times" w:cs="Times"/>
                <w:bCs/>
                <w:sz w:val="20"/>
                <w:szCs w:val="20"/>
              </w:rPr>
              <w:t>The desired IAB-MT’s UL PSD range, provided by the IAB-MT to its parent-node, is indicated to be associated with some combination (one or multiple) of the following IAB-node’s configurations:</w:t>
            </w:r>
          </w:p>
          <w:p w14:paraId="4CE3F230" w14:textId="77777777" w:rsidR="00321EDD" w:rsidRPr="00321EDD" w:rsidRDefault="00321EDD" w:rsidP="00321EDD">
            <w:pPr>
              <w:widowControl/>
              <w:numPr>
                <w:ilvl w:val="0"/>
                <w:numId w:val="25"/>
              </w:numPr>
              <w:wordWrap/>
              <w:autoSpaceDE/>
              <w:autoSpaceDN/>
              <w:spacing w:afterLines="0" w:after="0" w:line="259" w:lineRule="auto"/>
              <w:jc w:val="left"/>
              <w:rPr>
                <w:rFonts w:ascii="Times" w:eastAsia="바탕" w:hAnsi="Times"/>
                <w:b/>
                <w:bCs/>
                <w:sz w:val="20"/>
                <w:szCs w:val="24"/>
                <w:lang w:val="en-GB" w:eastAsia="en-US"/>
              </w:rPr>
            </w:pPr>
            <w:r w:rsidRPr="00321EDD">
              <w:rPr>
                <w:rFonts w:ascii="Times" w:eastAsia="Times New Roman" w:hAnsi="Times" w:cs="Times"/>
                <w:bCs/>
                <w:sz w:val="20"/>
                <w:szCs w:val="20"/>
                <w:lang w:val="en-GB" w:eastAsia="en-US"/>
              </w:rPr>
              <w:t xml:space="preserve">Multiplexing mode, </w:t>
            </w:r>
          </w:p>
          <w:p w14:paraId="5FCEFAAC" w14:textId="77777777" w:rsidR="00321EDD" w:rsidRPr="00321EDD" w:rsidRDefault="00321EDD" w:rsidP="00321EDD">
            <w:pPr>
              <w:widowControl/>
              <w:numPr>
                <w:ilvl w:val="0"/>
                <w:numId w:val="25"/>
              </w:numPr>
              <w:wordWrap/>
              <w:autoSpaceDE/>
              <w:autoSpaceDN/>
              <w:spacing w:afterLines="0" w:after="0" w:line="259" w:lineRule="auto"/>
              <w:jc w:val="left"/>
              <w:rPr>
                <w:rFonts w:ascii="Times" w:eastAsia="바탕" w:hAnsi="Times"/>
                <w:b/>
                <w:bCs/>
                <w:sz w:val="20"/>
                <w:szCs w:val="24"/>
                <w:lang w:val="en-GB" w:eastAsia="en-US"/>
              </w:rPr>
            </w:pPr>
            <w:r w:rsidRPr="00321EDD">
              <w:rPr>
                <w:rFonts w:ascii="Times" w:eastAsia="Times New Roman" w:hAnsi="Times" w:cs="Times"/>
                <w:bCs/>
                <w:sz w:val="20"/>
                <w:szCs w:val="20"/>
                <w:lang w:val="en-GB" w:eastAsia="en-US"/>
              </w:rPr>
              <w:t xml:space="preserve">MT’s UL beam (e.g., SRI id), </w:t>
            </w:r>
          </w:p>
          <w:p w14:paraId="2273789F" w14:textId="77777777" w:rsidR="00321EDD" w:rsidRPr="00321EDD" w:rsidRDefault="00321EDD" w:rsidP="00321EDD">
            <w:pPr>
              <w:widowControl/>
              <w:numPr>
                <w:ilvl w:val="0"/>
                <w:numId w:val="25"/>
              </w:numPr>
              <w:wordWrap/>
              <w:autoSpaceDE/>
              <w:autoSpaceDN/>
              <w:spacing w:afterLines="0" w:after="0" w:line="259" w:lineRule="auto"/>
              <w:jc w:val="left"/>
              <w:rPr>
                <w:rFonts w:ascii="Times" w:eastAsia="바탕" w:hAnsi="Times"/>
                <w:b/>
                <w:bCs/>
                <w:sz w:val="20"/>
                <w:szCs w:val="24"/>
                <w:lang w:val="en-GB" w:eastAsia="en-US"/>
              </w:rPr>
            </w:pPr>
            <w:r w:rsidRPr="00321EDD">
              <w:rPr>
                <w:rFonts w:ascii="Times" w:eastAsia="Times New Roman" w:hAnsi="Times" w:cs="Times"/>
                <w:bCs/>
                <w:sz w:val="20"/>
                <w:szCs w:val="20"/>
                <w:lang w:val="en-GB" w:eastAsia="en-US"/>
              </w:rPr>
              <w:t>(MT CC, DU cell) pair,</w:t>
            </w:r>
          </w:p>
          <w:p w14:paraId="42E720F6" w14:textId="77777777" w:rsidR="00321EDD" w:rsidRPr="00321EDD" w:rsidRDefault="00321EDD" w:rsidP="00321EDD">
            <w:pPr>
              <w:widowControl/>
              <w:numPr>
                <w:ilvl w:val="0"/>
                <w:numId w:val="25"/>
              </w:numPr>
              <w:wordWrap/>
              <w:autoSpaceDE/>
              <w:autoSpaceDN/>
              <w:spacing w:afterLines="0" w:after="0" w:line="259" w:lineRule="auto"/>
              <w:jc w:val="left"/>
              <w:rPr>
                <w:rFonts w:ascii="Times" w:eastAsia="바탕" w:hAnsi="Times"/>
                <w:b/>
                <w:bCs/>
                <w:sz w:val="20"/>
                <w:szCs w:val="24"/>
                <w:lang w:val="en-GB" w:eastAsia="en-US"/>
              </w:rPr>
            </w:pPr>
            <w:r w:rsidRPr="00321EDD">
              <w:rPr>
                <w:rFonts w:ascii="Times" w:eastAsia="Times New Roman" w:hAnsi="Times" w:cs="Times"/>
                <w:bCs/>
                <w:sz w:val="20"/>
                <w:szCs w:val="20"/>
                <w:lang w:val="en-GB" w:eastAsia="en-US"/>
              </w:rPr>
              <w:t>DU resource configuration</w:t>
            </w:r>
          </w:p>
          <w:p w14:paraId="37E855DC" w14:textId="77777777" w:rsidR="00321EDD" w:rsidRPr="00321EDD" w:rsidRDefault="00321EDD" w:rsidP="00321EDD">
            <w:pPr>
              <w:widowControl/>
              <w:numPr>
                <w:ilvl w:val="0"/>
                <w:numId w:val="25"/>
              </w:numPr>
              <w:wordWrap/>
              <w:autoSpaceDE/>
              <w:autoSpaceDN/>
              <w:spacing w:afterLines="0" w:after="0" w:line="259" w:lineRule="auto"/>
              <w:jc w:val="left"/>
              <w:rPr>
                <w:rFonts w:ascii="Times" w:eastAsia="바탕" w:hAnsi="Times"/>
                <w:b/>
                <w:bCs/>
                <w:sz w:val="20"/>
                <w:szCs w:val="24"/>
                <w:lang w:val="en-GB" w:eastAsia="en-US"/>
              </w:rPr>
            </w:pPr>
            <w:r w:rsidRPr="00321EDD">
              <w:rPr>
                <w:rFonts w:ascii="Times" w:eastAsia="Times New Roman" w:hAnsi="Times" w:cs="Times"/>
                <w:bCs/>
                <w:sz w:val="20"/>
                <w:szCs w:val="20"/>
                <w:lang w:val="en-GB" w:eastAsia="en-US"/>
              </w:rPr>
              <w:t>FFS: slot index</w:t>
            </w:r>
          </w:p>
          <w:p w14:paraId="6732A040" w14:textId="77777777" w:rsidR="00321EDD" w:rsidRPr="00321EDD" w:rsidRDefault="00321EDD" w:rsidP="00321EDD">
            <w:pPr>
              <w:widowControl/>
              <w:numPr>
                <w:ilvl w:val="0"/>
                <w:numId w:val="25"/>
              </w:numPr>
              <w:wordWrap/>
              <w:autoSpaceDE/>
              <w:autoSpaceDN/>
              <w:spacing w:afterLines="0" w:after="0" w:line="259" w:lineRule="auto"/>
              <w:jc w:val="left"/>
              <w:rPr>
                <w:rFonts w:ascii="Times" w:eastAsia="바탕" w:hAnsi="Times"/>
                <w:b/>
                <w:bCs/>
                <w:sz w:val="20"/>
                <w:szCs w:val="24"/>
                <w:lang w:val="en-GB" w:eastAsia="en-US"/>
              </w:rPr>
            </w:pPr>
            <w:r w:rsidRPr="00321EDD">
              <w:rPr>
                <w:rFonts w:ascii="Times" w:eastAsia="Times New Roman" w:hAnsi="Times" w:cs="Times"/>
                <w:bCs/>
                <w:sz w:val="20"/>
                <w:szCs w:val="20"/>
                <w:lang w:val="en-GB" w:eastAsia="en-US"/>
              </w:rPr>
              <w:t>FFS: timing mode (e.g., Case-6 timing)</w:t>
            </w:r>
          </w:p>
          <w:p w14:paraId="1C3AB475" w14:textId="77777777" w:rsidR="00321EDD" w:rsidRPr="00321EDD" w:rsidRDefault="00321EDD" w:rsidP="00321EDD">
            <w:pPr>
              <w:widowControl/>
              <w:wordWrap/>
              <w:autoSpaceDE/>
              <w:autoSpaceDN/>
              <w:spacing w:afterLines="0" w:after="0"/>
              <w:jc w:val="left"/>
              <w:rPr>
                <w:rFonts w:ascii="Times" w:eastAsia="맑은 고딕" w:hAnsi="Times" w:cs="Times"/>
                <w:sz w:val="20"/>
                <w:szCs w:val="20"/>
              </w:rPr>
            </w:pPr>
            <w:r w:rsidRPr="00321EDD">
              <w:rPr>
                <w:rFonts w:ascii="Times" w:eastAsia="맑은 고딕" w:hAnsi="Times" w:cs="Times"/>
                <w:sz w:val="20"/>
                <w:szCs w:val="20"/>
              </w:rPr>
              <w:t> </w:t>
            </w:r>
          </w:p>
          <w:p w14:paraId="1329B3FD" w14:textId="77777777" w:rsidR="00321EDD" w:rsidRPr="00321EDD" w:rsidRDefault="00321EDD" w:rsidP="00321EDD">
            <w:pPr>
              <w:widowControl/>
              <w:wordWrap/>
              <w:autoSpaceDE/>
              <w:autoSpaceDN/>
              <w:spacing w:afterLines="0" w:after="0"/>
              <w:jc w:val="left"/>
              <w:rPr>
                <w:rFonts w:ascii="Times" w:eastAsia="바탕" w:hAnsi="Times"/>
                <w:b/>
                <w:bCs/>
                <w:sz w:val="20"/>
                <w:szCs w:val="24"/>
                <w:highlight w:val="green"/>
                <w:lang w:val="en-GB" w:eastAsia="en-US"/>
              </w:rPr>
            </w:pPr>
            <w:r w:rsidRPr="00321EDD">
              <w:rPr>
                <w:rFonts w:ascii="Times" w:eastAsia="바탕" w:hAnsi="Times"/>
                <w:b/>
                <w:bCs/>
                <w:sz w:val="20"/>
                <w:szCs w:val="24"/>
                <w:highlight w:val="green"/>
                <w:lang w:val="en-GB" w:eastAsia="en-US"/>
              </w:rPr>
              <w:t>Agreement</w:t>
            </w:r>
          </w:p>
          <w:p w14:paraId="41EAAF53" w14:textId="77777777" w:rsidR="00321EDD" w:rsidRPr="00321EDD" w:rsidRDefault="00321EDD" w:rsidP="00321EDD">
            <w:pPr>
              <w:widowControl/>
              <w:wordWrap/>
              <w:autoSpaceDE/>
              <w:autoSpaceDN/>
              <w:spacing w:afterLines="0" w:after="0"/>
              <w:jc w:val="left"/>
              <w:rPr>
                <w:rFonts w:ascii="Calibri" w:eastAsia="맑은 고딕" w:hAnsi="Calibri" w:cs="Calibri"/>
                <w:b/>
                <w:bCs/>
              </w:rPr>
            </w:pPr>
            <w:r w:rsidRPr="00321EDD">
              <w:rPr>
                <w:rFonts w:ascii="Times" w:eastAsia="맑은 고딕" w:hAnsi="Times" w:cs="Times"/>
                <w:bCs/>
                <w:sz w:val="20"/>
                <w:szCs w:val="20"/>
              </w:rPr>
              <w:t>The desired IAB-MT’s UL PSD range, provided by an IAB-MT to its parent-node, is indicated via a new MAC-CE.</w:t>
            </w:r>
          </w:p>
          <w:p w14:paraId="6354E8C1" w14:textId="77777777" w:rsidR="00321EDD" w:rsidRPr="00321EDD" w:rsidRDefault="00321EDD" w:rsidP="00321EDD">
            <w:pPr>
              <w:widowControl/>
              <w:numPr>
                <w:ilvl w:val="0"/>
                <w:numId w:val="25"/>
              </w:numPr>
              <w:wordWrap/>
              <w:autoSpaceDE/>
              <w:autoSpaceDN/>
              <w:spacing w:afterLines="0" w:after="0" w:line="259" w:lineRule="auto"/>
              <w:jc w:val="left"/>
              <w:rPr>
                <w:rFonts w:ascii="Times" w:eastAsia="바탕" w:hAnsi="Times"/>
                <w:b/>
                <w:bCs/>
                <w:sz w:val="20"/>
                <w:szCs w:val="24"/>
                <w:lang w:val="en-GB" w:eastAsia="en-US"/>
              </w:rPr>
            </w:pPr>
            <w:r w:rsidRPr="00321EDD">
              <w:rPr>
                <w:rFonts w:ascii="Times" w:eastAsia="Times New Roman" w:hAnsi="Times" w:cs="Times"/>
                <w:bCs/>
                <w:sz w:val="20"/>
                <w:szCs w:val="20"/>
                <w:lang w:val="en-GB" w:eastAsia="en-US"/>
              </w:rPr>
              <w:t>The indication further includes the associated configurations for which the indicated PSD range is applicable.</w:t>
            </w:r>
          </w:p>
          <w:p w14:paraId="4B7219A4" w14:textId="77777777" w:rsidR="00321EDD" w:rsidRPr="00321EDD" w:rsidRDefault="00321EDD" w:rsidP="00321EDD">
            <w:pPr>
              <w:widowControl/>
              <w:numPr>
                <w:ilvl w:val="0"/>
                <w:numId w:val="25"/>
              </w:numPr>
              <w:wordWrap/>
              <w:autoSpaceDE/>
              <w:autoSpaceDN/>
              <w:spacing w:afterLines="0" w:after="0" w:line="259" w:lineRule="auto"/>
              <w:jc w:val="left"/>
              <w:rPr>
                <w:rFonts w:ascii="Times" w:eastAsia="바탕" w:hAnsi="Times"/>
                <w:b/>
                <w:bCs/>
                <w:sz w:val="20"/>
                <w:szCs w:val="24"/>
                <w:lang w:val="en-GB" w:eastAsia="en-US"/>
              </w:rPr>
            </w:pPr>
            <w:r w:rsidRPr="00321EDD">
              <w:rPr>
                <w:rFonts w:ascii="Times" w:eastAsia="Times New Roman" w:hAnsi="Times" w:cs="Times"/>
                <w:bCs/>
                <w:sz w:val="20"/>
                <w:szCs w:val="20"/>
                <w:lang w:val="en-GB" w:eastAsia="en-US"/>
              </w:rPr>
              <w:t xml:space="preserve">FFS: the range of values for the indicated PSD range and whether RAN4 input is needed. </w:t>
            </w:r>
          </w:p>
          <w:p w14:paraId="7187B791" w14:textId="77777777" w:rsidR="00321EDD" w:rsidRPr="009B0EF9" w:rsidRDefault="00321EDD" w:rsidP="004B3F8F">
            <w:pPr>
              <w:widowControl/>
              <w:numPr>
                <w:ilvl w:val="0"/>
                <w:numId w:val="25"/>
              </w:numPr>
              <w:wordWrap/>
              <w:autoSpaceDE/>
              <w:autoSpaceDN/>
              <w:spacing w:afterLines="0" w:after="0" w:line="259" w:lineRule="auto"/>
              <w:jc w:val="left"/>
              <w:rPr>
                <w:rFonts w:ascii="Times" w:eastAsia="바탕" w:hAnsi="Times"/>
                <w:b/>
                <w:bCs/>
                <w:sz w:val="20"/>
                <w:szCs w:val="24"/>
                <w:lang w:val="en-GB" w:eastAsia="en-US"/>
              </w:rPr>
            </w:pPr>
            <w:r w:rsidRPr="00321EDD">
              <w:rPr>
                <w:rFonts w:ascii="Times" w:eastAsia="Times New Roman" w:hAnsi="Times" w:cs="Times"/>
                <w:bCs/>
                <w:sz w:val="20"/>
                <w:szCs w:val="20"/>
                <w:lang w:val="en-GB" w:eastAsia="en-US"/>
              </w:rPr>
              <w:t>FFS: IAB-MT’s behaviour in case the configured/indicated UL TX power is outside the indicated desired PSD range and whether RAN4 input is needed.</w:t>
            </w:r>
          </w:p>
          <w:p w14:paraId="7C84F0E5" w14:textId="77777777" w:rsidR="009B0EF9" w:rsidRDefault="009B0EF9" w:rsidP="009B0EF9">
            <w:pPr>
              <w:widowControl/>
              <w:wordWrap/>
              <w:autoSpaceDE/>
              <w:autoSpaceDN/>
              <w:spacing w:afterLines="0" w:after="0" w:line="259" w:lineRule="auto"/>
              <w:jc w:val="left"/>
              <w:rPr>
                <w:rFonts w:ascii="Times" w:eastAsia="바탕" w:hAnsi="Times"/>
                <w:b/>
                <w:bCs/>
                <w:sz w:val="20"/>
                <w:szCs w:val="24"/>
                <w:lang w:val="en-GB" w:eastAsia="en-US"/>
              </w:rPr>
            </w:pPr>
          </w:p>
          <w:p w14:paraId="7CA08379" w14:textId="77777777" w:rsidR="009B0EF9" w:rsidRPr="009B0EF9" w:rsidRDefault="009B0EF9" w:rsidP="009B0EF9">
            <w:pPr>
              <w:widowControl/>
              <w:wordWrap/>
              <w:autoSpaceDE/>
              <w:autoSpaceDN/>
              <w:spacing w:afterLines="0" w:after="0"/>
              <w:jc w:val="left"/>
              <w:rPr>
                <w:rFonts w:ascii="Times" w:eastAsia="맑은 고딕" w:hAnsi="Times" w:cs="Times"/>
                <w:b/>
                <w:bCs/>
              </w:rPr>
            </w:pPr>
            <w:r w:rsidRPr="009B0EF9">
              <w:rPr>
                <w:rFonts w:ascii="Times" w:eastAsia="맑은 고딕" w:hAnsi="Times" w:cs="Times"/>
                <w:b/>
                <w:bCs/>
                <w:sz w:val="20"/>
                <w:szCs w:val="20"/>
              </w:rPr>
              <w:t>Conclusion</w:t>
            </w:r>
          </w:p>
          <w:p w14:paraId="34E0ACDF" w14:textId="77777777" w:rsidR="009B0EF9" w:rsidRPr="009B0EF9" w:rsidRDefault="009B0EF9" w:rsidP="009B0EF9">
            <w:pPr>
              <w:widowControl/>
              <w:wordWrap/>
              <w:autoSpaceDE/>
              <w:autoSpaceDN/>
              <w:spacing w:afterLines="0" w:after="0"/>
              <w:jc w:val="left"/>
              <w:rPr>
                <w:rFonts w:ascii="Times" w:eastAsia="맑은 고딕" w:hAnsi="Times" w:cs="Times"/>
                <w:b/>
              </w:rPr>
            </w:pPr>
            <w:r w:rsidRPr="009B0EF9">
              <w:rPr>
                <w:rFonts w:ascii="Times" w:eastAsia="맑은 고딕" w:hAnsi="Times" w:cs="Times"/>
                <w:bCs/>
                <w:sz w:val="20"/>
                <w:szCs w:val="20"/>
              </w:rPr>
              <w:t>RAN1 to further discuss, under 8.10.2, whether to support new triggering conditions to send an updated PHR (e.g., upon change of multiplexing mode, or applying a desired DL TX power adjustment indication from a child-node).</w:t>
            </w:r>
          </w:p>
          <w:p w14:paraId="0B598DC2" w14:textId="131A72B6" w:rsidR="009B0EF9" w:rsidRPr="0028680C" w:rsidRDefault="009B0EF9" w:rsidP="009B0EF9">
            <w:pPr>
              <w:widowControl/>
              <w:wordWrap/>
              <w:autoSpaceDE/>
              <w:autoSpaceDN/>
              <w:spacing w:afterLines="0" w:after="0" w:line="259" w:lineRule="auto"/>
              <w:jc w:val="left"/>
              <w:rPr>
                <w:rFonts w:ascii="Times" w:eastAsia="바탕" w:hAnsi="Times"/>
                <w:b/>
                <w:bCs/>
                <w:sz w:val="20"/>
                <w:szCs w:val="24"/>
                <w:lang w:val="en-GB" w:eastAsia="en-US"/>
              </w:rPr>
            </w:pPr>
          </w:p>
        </w:tc>
      </w:tr>
    </w:tbl>
    <w:p w14:paraId="083AE960" w14:textId="77777777" w:rsidR="00435499" w:rsidRDefault="00435499" w:rsidP="002D4B81">
      <w:pPr>
        <w:pStyle w:val="maintext"/>
        <w:ind w:firstLine="440"/>
        <w:rPr>
          <w:rFonts w:eastAsiaTheme="minorEastAsia"/>
        </w:rPr>
      </w:pPr>
    </w:p>
    <w:p w14:paraId="1860CCAA" w14:textId="4C4EDB2B" w:rsidR="00A73E4E" w:rsidRDefault="009C3F72" w:rsidP="002D4B81">
      <w:pPr>
        <w:pStyle w:val="maintext"/>
        <w:ind w:firstLine="440"/>
        <w:rPr>
          <w:rFonts w:eastAsiaTheme="minorEastAsia"/>
        </w:rPr>
      </w:pPr>
      <w:r>
        <w:rPr>
          <w:rFonts w:eastAsiaTheme="minorEastAsia" w:hint="eastAsia"/>
        </w:rPr>
        <w:t>I</w:t>
      </w:r>
      <w:r>
        <w:rPr>
          <w:rFonts w:eastAsiaTheme="minorEastAsia"/>
        </w:rPr>
        <w:t xml:space="preserve">n RAN1#106-e meeting, </w:t>
      </w:r>
      <w:r w:rsidR="00537740">
        <w:rPr>
          <w:rFonts w:eastAsiaTheme="minorEastAsia"/>
        </w:rPr>
        <w:t xml:space="preserve">it was agreed to support </w:t>
      </w:r>
      <w:r w:rsidR="00537740" w:rsidRPr="00537740">
        <w:rPr>
          <w:rFonts w:eastAsiaTheme="minorEastAsia"/>
        </w:rPr>
        <w:t>an IAB-node indicating its desired IAB-MT PSD range to help with its MT’s UL TX power control.</w:t>
      </w:r>
      <w:r w:rsidR="00537740">
        <w:rPr>
          <w:rFonts w:eastAsiaTheme="minorEastAsia"/>
        </w:rPr>
        <w:t xml:space="preserve"> </w:t>
      </w:r>
      <w:r w:rsidR="004D6CDE">
        <w:rPr>
          <w:rFonts w:eastAsiaTheme="minorEastAsia"/>
        </w:rPr>
        <w:t xml:space="preserve">We think it should be clarified that the applicability of this report (i.e. desired IAB-MT PSD range) is limited only for the time/frequency resources utilized for </w:t>
      </w:r>
      <w:r w:rsidR="00684354">
        <w:rPr>
          <w:rFonts w:eastAsiaTheme="minorEastAsia"/>
        </w:rPr>
        <w:t xml:space="preserve">simultaneous operations. Without the clarification above, </w:t>
      </w:r>
      <w:r w:rsidR="00EC1843">
        <w:rPr>
          <w:rFonts w:eastAsiaTheme="minorEastAsia"/>
        </w:rPr>
        <w:t xml:space="preserve">it would be confusing whether the parent node should struggle to fit the reported range value for the IAB-MT at all time or not. </w:t>
      </w:r>
      <w:r w:rsidR="00F96AB3">
        <w:rPr>
          <w:rFonts w:eastAsiaTheme="minorEastAsia"/>
        </w:rPr>
        <w:t>Furthermore, we believe that the IAB-MT behaviour when the indicated/configured UL TX power is out of range of the reported value(s)</w:t>
      </w:r>
      <w:r w:rsidR="006B4A55">
        <w:rPr>
          <w:rFonts w:eastAsiaTheme="minorEastAsia"/>
        </w:rPr>
        <w:t xml:space="preserve"> should be defined (or concluded at least)</w:t>
      </w:r>
      <w:r w:rsidR="00F96AB3">
        <w:rPr>
          <w:rFonts w:eastAsiaTheme="minorEastAsia"/>
        </w:rPr>
        <w:t xml:space="preserve">. </w:t>
      </w:r>
      <w:r w:rsidR="00441BF7">
        <w:rPr>
          <w:rFonts w:eastAsiaTheme="minorEastAsia"/>
        </w:rPr>
        <w:t xml:space="preserve">Otherwise, it would not be clear </w:t>
      </w:r>
      <w:r w:rsidR="00B142A3">
        <w:rPr>
          <w:rFonts w:eastAsiaTheme="minorEastAsia"/>
        </w:rPr>
        <w:t>whether</w:t>
      </w:r>
      <w:r w:rsidR="00441BF7">
        <w:rPr>
          <w:rFonts w:eastAsiaTheme="minorEastAsia"/>
        </w:rPr>
        <w:t xml:space="preserve"> the reported</w:t>
      </w:r>
      <w:r w:rsidR="00B142A3">
        <w:rPr>
          <w:rFonts w:eastAsiaTheme="minorEastAsia"/>
        </w:rPr>
        <w:t xml:space="preserve"> values will be the actual boundary for future UL TX transmissions or will just be recommendations for parent node. A simple option to define the follow-up IAB-MT behaviour after the desired PSD range report while keeping the minimum specification impact is to update PHR triggering event considering the newly added PSD range report. For instance, IAB-MT can be permitted to perform PHR when one or more of the following events are occurred (so the reported PSD range can be implicitly applied </w:t>
      </w:r>
      <w:r w:rsidR="003D6AEE">
        <w:rPr>
          <w:rFonts w:eastAsiaTheme="minorEastAsia"/>
        </w:rPr>
        <w:t>for the follow-up UL PC</w:t>
      </w:r>
      <w:r w:rsidR="00B142A3">
        <w:rPr>
          <w:rFonts w:eastAsiaTheme="minorEastAsia"/>
        </w:rPr>
        <w:t>):</w:t>
      </w:r>
    </w:p>
    <w:p w14:paraId="08674B0F" w14:textId="01569CBE" w:rsidR="003D6AEE" w:rsidRDefault="003D6AEE" w:rsidP="003D6AEE">
      <w:pPr>
        <w:pStyle w:val="maintext"/>
        <w:numPr>
          <w:ilvl w:val="0"/>
          <w:numId w:val="21"/>
        </w:numPr>
        <w:ind w:firstLineChars="0"/>
        <w:rPr>
          <w:rFonts w:eastAsiaTheme="minorEastAsia"/>
        </w:rPr>
      </w:pPr>
      <w:r>
        <w:rPr>
          <w:rFonts w:eastAsiaTheme="minorEastAsia" w:hint="eastAsia"/>
        </w:rPr>
        <w:t>E</w:t>
      </w:r>
      <w:r>
        <w:rPr>
          <w:rFonts w:eastAsiaTheme="minorEastAsia"/>
        </w:rPr>
        <w:t>vent #1: Configuration or reconfiguration of simultaneous operations.</w:t>
      </w:r>
    </w:p>
    <w:p w14:paraId="72C7D248" w14:textId="668D65C0" w:rsidR="003D6AEE" w:rsidRPr="003D6AEE" w:rsidRDefault="003D6AEE" w:rsidP="003D6AEE">
      <w:pPr>
        <w:pStyle w:val="maintext"/>
        <w:numPr>
          <w:ilvl w:val="0"/>
          <w:numId w:val="21"/>
        </w:numPr>
        <w:ind w:firstLineChars="0"/>
        <w:rPr>
          <w:rFonts w:eastAsiaTheme="minorEastAsia"/>
        </w:rPr>
      </w:pPr>
      <w:r>
        <w:rPr>
          <w:rFonts w:eastAsiaTheme="minorEastAsia" w:hint="eastAsia"/>
        </w:rPr>
        <w:t>E</w:t>
      </w:r>
      <w:r>
        <w:rPr>
          <w:rFonts w:eastAsiaTheme="minorEastAsia"/>
        </w:rPr>
        <w:t>vent #2: UL TX power variation over the reported PSD range is observed/expected.</w:t>
      </w:r>
    </w:p>
    <w:p w14:paraId="6B943DCE" w14:textId="598554EF" w:rsidR="00D57F4C" w:rsidRDefault="00D57F4C" w:rsidP="002D4B81">
      <w:pPr>
        <w:pStyle w:val="maintext"/>
        <w:ind w:firstLine="440"/>
        <w:rPr>
          <w:rFonts w:eastAsiaTheme="minorEastAsia"/>
        </w:rPr>
      </w:pPr>
    </w:p>
    <w:p w14:paraId="6B183B06" w14:textId="3CD9C49F" w:rsidR="003D6AEE" w:rsidRDefault="003D6AEE" w:rsidP="002D4B81">
      <w:pPr>
        <w:pStyle w:val="maintext"/>
        <w:ind w:firstLine="440"/>
        <w:rPr>
          <w:rFonts w:eastAsiaTheme="minorEastAsia"/>
        </w:rPr>
      </w:pPr>
      <w:r>
        <w:rPr>
          <w:rFonts w:eastAsiaTheme="minorEastAsia" w:hint="eastAsia"/>
        </w:rPr>
        <w:t>S</w:t>
      </w:r>
      <w:r>
        <w:rPr>
          <w:rFonts w:eastAsiaTheme="minorEastAsia"/>
        </w:rPr>
        <w:t>ince the</w:t>
      </w:r>
      <w:r w:rsidRPr="003D6AEE">
        <w:rPr>
          <w:rFonts w:eastAsiaTheme="minorEastAsia"/>
        </w:rPr>
        <w:t xml:space="preserve"> follow-up IAB-MT behaviour after the desired PSD range report</w:t>
      </w:r>
      <w:r>
        <w:rPr>
          <w:rFonts w:eastAsiaTheme="minorEastAsia"/>
        </w:rPr>
        <w:t xml:space="preserve"> is not necessarily defined by RAN1 specifications as aforementioned, it would be good to send </w:t>
      </w:r>
      <w:proofErr w:type="gramStart"/>
      <w:r>
        <w:rPr>
          <w:rFonts w:eastAsiaTheme="minorEastAsia"/>
        </w:rPr>
        <w:t>an</w:t>
      </w:r>
      <w:proofErr w:type="gramEnd"/>
      <w:r>
        <w:rPr>
          <w:rFonts w:eastAsiaTheme="minorEastAsia"/>
        </w:rPr>
        <w:t xml:space="preserve"> LS to RAN2 to finalize this feature in time.</w:t>
      </w:r>
      <w:r w:rsidR="00E2638F">
        <w:rPr>
          <w:rFonts w:eastAsiaTheme="minorEastAsia"/>
        </w:rPr>
        <w:t xml:space="preserve"> For instance, </w:t>
      </w:r>
      <w:r w:rsidR="00622578">
        <w:rPr>
          <w:rFonts w:eastAsiaTheme="minorEastAsia"/>
        </w:rPr>
        <w:t xml:space="preserve">in subclause 5.4.6 of </w:t>
      </w:r>
      <w:r w:rsidR="00622578">
        <w:rPr>
          <w:rFonts w:eastAsiaTheme="minorEastAsia"/>
        </w:rPr>
        <w:fldChar w:fldCharType="begin"/>
      </w:r>
      <w:r w:rsidR="00622578">
        <w:rPr>
          <w:rFonts w:eastAsiaTheme="minorEastAsia"/>
        </w:rPr>
        <w:instrText xml:space="preserve"> REF _Ref86917639 \r \h </w:instrText>
      </w:r>
      <w:r w:rsidR="00622578">
        <w:rPr>
          <w:rFonts w:eastAsiaTheme="minorEastAsia"/>
        </w:rPr>
      </w:r>
      <w:r w:rsidR="00622578">
        <w:rPr>
          <w:rFonts w:eastAsiaTheme="minorEastAsia"/>
        </w:rPr>
        <w:fldChar w:fldCharType="separate"/>
      </w:r>
      <w:r w:rsidR="00622578">
        <w:rPr>
          <w:rFonts w:eastAsiaTheme="minorEastAsia"/>
        </w:rPr>
        <w:t>[2]</w:t>
      </w:r>
      <w:r w:rsidR="00622578">
        <w:rPr>
          <w:rFonts w:eastAsiaTheme="minorEastAsia"/>
        </w:rPr>
        <w:fldChar w:fldCharType="end"/>
      </w:r>
      <w:r w:rsidR="00622578">
        <w:rPr>
          <w:rFonts w:eastAsiaTheme="minorEastAsia"/>
        </w:rPr>
        <w:t xml:space="preserve"> various conditions for PHR triggering are provided as follows:</w:t>
      </w:r>
    </w:p>
    <w:p w14:paraId="391B92E4" w14:textId="543A78F2" w:rsidR="00622578" w:rsidRPr="00622578" w:rsidRDefault="00622578" w:rsidP="00622578">
      <w:pPr>
        <w:pStyle w:val="maintext"/>
        <w:numPr>
          <w:ilvl w:val="0"/>
          <w:numId w:val="28"/>
        </w:numPr>
        <w:ind w:firstLineChars="0"/>
        <w:rPr>
          <w:rFonts w:eastAsiaTheme="minorEastAsia"/>
        </w:rPr>
      </w:pPr>
      <w:r>
        <w:rPr>
          <w:rFonts w:eastAsiaTheme="minorEastAsia"/>
        </w:rPr>
        <w:t>Condition #1: According to</w:t>
      </w:r>
      <w:r w:rsidRPr="00622578">
        <w:rPr>
          <w:rFonts w:eastAsiaTheme="minorEastAsia"/>
        </w:rPr>
        <w:t xml:space="preserve"> </w:t>
      </w:r>
      <w:proofErr w:type="spellStart"/>
      <w:r w:rsidRPr="00622578">
        <w:rPr>
          <w:rFonts w:eastAsiaTheme="minorEastAsia"/>
        </w:rPr>
        <w:t>phr-PeriodicTimer</w:t>
      </w:r>
      <w:proofErr w:type="spellEnd"/>
      <w:r>
        <w:rPr>
          <w:rFonts w:eastAsiaTheme="minorEastAsia"/>
        </w:rPr>
        <w:t>.</w:t>
      </w:r>
    </w:p>
    <w:p w14:paraId="71DF1495" w14:textId="01079B72" w:rsidR="00622578" w:rsidRPr="00622578" w:rsidRDefault="00622578" w:rsidP="00622578">
      <w:pPr>
        <w:pStyle w:val="maintext"/>
        <w:numPr>
          <w:ilvl w:val="0"/>
          <w:numId w:val="28"/>
        </w:numPr>
        <w:ind w:firstLineChars="0"/>
        <w:rPr>
          <w:rFonts w:eastAsiaTheme="minorEastAsia"/>
        </w:rPr>
      </w:pPr>
      <w:r>
        <w:rPr>
          <w:rFonts w:eastAsiaTheme="minorEastAsia"/>
        </w:rPr>
        <w:t>Condition #2:</w:t>
      </w:r>
      <w:r w:rsidRPr="00622578">
        <w:rPr>
          <w:rFonts w:eastAsiaTheme="minorEastAsia"/>
        </w:rPr>
        <w:t xml:space="preserve"> </w:t>
      </w:r>
      <w:r>
        <w:rPr>
          <w:rFonts w:eastAsiaTheme="minorEastAsia"/>
        </w:rPr>
        <w:t>According to</w:t>
      </w:r>
      <w:r w:rsidRPr="00622578">
        <w:rPr>
          <w:rFonts w:eastAsiaTheme="minorEastAsia"/>
        </w:rPr>
        <w:t xml:space="preserve"> </w:t>
      </w:r>
      <w:proofErr w:type="spellStart"/>
      <w:r w:rsidRPr="00622578">
        <w:rPr>
          <w:rFonts w:eastAsiaTheme="minorEastAsia"/>
        </w:rPr>
        <w:t>phr-ProhibitTimer</w:t>
      </w:r>
      <w:proofErr w:type="spellEnd"/>
      <w:r w:rsidRPr="00622578">
        <w:rPr>
          <w:rFonts w:eastAsiaTheme="minorEastAsia"/>
        </w:rPr>
        <w:t xml:space="preserve"> + path loss change </w:t>
      </w:r>
    </w:p>
    <w:p w14:paraId="16259D94" w14:textId="712CA21A" w:rsidR="00622578" w:rsidRPr="00622578" w:rsidRDefault="00622578" w:rsidP="00622578">
      <w:pPr>
        <w:pStyle w:val="maintext"/>
        <w:numPr>
          <w:ilvl w:val="0"/>
          <w:numId w:val="28"/>
        </w:numPr>
        <w:ind w:firstLineChars="0"/>
        <w:rPr>
          <w:rFonts w:eastAsiaTheme="minorEastAsia"/>
        </w:rPr>
      </w:pPr>
      <w:r>
        <w:rPr>
          <w:rFonts w:eastAsiaTheme="minorEastAsia"/>
        </w:rPr>
        <w:t>Condition #3: According to</w:t>
      </w:r>
      <w:r w:rsidRPr="00622578">
        <w:rPr>
          <w:rFonts w:eastAsiaTheme="minorEastAsia"/>
        </w:rPr>
        <w:t xml:space="preserve"> new (or re-) configuration on PHR</w:t>
      </w:r>
    </w:p>
    <w:p w14:paraId="3C1AFD93" w14:textId="207A5EB1" w:rsidR="00622578" w:rsidRPr="00622578" w:rsidRDefault="00622578" w:rsidP="00622578">
      <w:pPr>
        <w:pStyle w:val="maintext"/>
        <w:numPr>
          <w:ilvl w:val="0"/>
          <w:numId w:val="28"/>
        </w:numPr>
        <w:ind w:firstLineChars="0"/>
        <w:rPr>
          <w:rFonts w:eastAsiaTheme="minorEastAsia"/>
        </w:rPr>
      </w:pPr>
      <w:r>
        <w:rPr>
          <w:rFonts w:eastAsiaTheme="minorEastAsia"/>
        </w:rPr>
        <w:t>Condition #4: According to</w:t>
      </w:r>
      <w:r w:rsidRPr="00622578">
        <w:rPr>
          <w:rFonts w:eastAsiaTheme="minorEastAsia"/>
        </w:rPr>
        <w:t xml:space="preserve"> </w:t>
      </w:r>
      <w:proofErr w:type="spellStart"/>
      <w:r w:rsidRPr="00622578">
        <w:rPr>
          <w:rFonts w:eastAsiaTheme="minorEastAsia"/>
        </w:rPr>
        <w:t>SCell</w:t>
      </w:r>
      <w:proofErr w:type="spellEnd"/>
      <w:r w:rsidRPr="00622578">
        <w:rPr>
          <w:rFonts w:eastAsiaTheme="minorEastAsia"/>
        </w:rPr>
        <w:t xml:space="preserve"> activation</w:t>
      </w:r>
    </w:p>
    <w:p w14:paraId="727EBCD4" w14:textId="4406CAB7" w:rsidR="00622578" w:rsidRPr="00622578" w:rsidRDefault="00622578" w:rsidP="00622578">
      <w:pPr>
        <w:pStyle w:val="maintext"/>
        <w:numPr>
          <w:ilvl w:val="0"/>
          <w:numId w:val="28"/>
        </w:numPr>
        <w:ind w:firstLineChars="0"/>
        <w:rPr>
          <w:rFonts w:eastAsiaTheme="minorEastAsia"/>
        </w:rPr>
      </w:pPr>
      <w:r>
        <w:rPr>
          <w:rFonts w:eastAsiaTheme="minorEastAsia"/>
        </w:rPr>
        <w:t>Condition #5: According to</w:t>
      </w:r>
      <w:r w:rsidRPr="00622578">
        <w:rPr>
          <w:rFonts w:eastAsiaTheme="minorEastAsia"/>
        </w:rPr>
        <w:t xml:space="preserve"> </w:t>
      </w:r>
      <w:proofErr w:type="spellStart"/>
      <w:r w:rsidRPr="00622578">
        <w:rPr>
          <w:rFonts w:eastAsiaTheme="minorEastAsia"/>
        </w:rPr>
        <w:t>PSCell</w:t>
      </w:r>
      <w:proofErr w:type="spellEnd"/>
      <w:r w:rsidRPr="00622578">
        <w:rPr>
          <w:rFonts w:eastAsiaTheme="minorEastAsia"/>
        </w:rPr>
        <w:t xml:space="preserve"> addition or change</w:t>
      </w:r>
    </w:p>
    <w:p w14:paraId="0958E44D" w14:textId="162D7C9C" w:rsidR="00622578" w:rsidRPr="00622578" w:rsidRDefault="00622578" w:rsidP="00622578">
      <w:pPr>
        <w:pStyle w:val="maintext"/>
        <w:numPr>
          <w:ilvl w:val="0"/>
          <w:numId w:val="28"/>
        </w:numPr>
        <w:ind w:firstLineChars="0"/>
        <w:rPr>
          <w:rFonts w:eastAsiaTheme="minorEastAsia"/>
        </w:rPr>
      </w:pPr>
      <w:r>
        <w:rPr>
          <w:rFonts w:eastAsiaTheme="minorEastAsia"/>
        </w:rPr>
        <w:t>Condition #6: According to</w:t>
      </w:r>
      <w:r w:rsidRPr="00622578">
        <w:rPr>
          <w:rFonts w:eastAsiaTheme="minorEastAsia"/>
        </w:rPr>
        <w:t xml:space="preserve"> mpe-Reporting-FR2 + </w:t>
      </w:r>
      <w:proofErr w:type="spellStart"/>
      <w:r w:rsidRPr="00622578">
        <w:rPr>
          <w:rFonts w:eastAsiaTheme="minorEastAsia"/>
        </w:rPr>
        <w:t>mpe-ProhibitTimer</w:t>
      </w:r>
      <w:proofErr w:type="spellEnd"/>
    </w:p>
    <w:p w14:paraId="63EDA546" w14:textId="1F07266A" w:rsidR="00D57F4C" w:rsidRDefault="004A688E" w:rsidP="002D4B81">
      <w:pPr>
        <w:pStyle w:val="maintext"/>
        <w:ind w:firstLine="440"/>
        <w:rPr>
          <w:rFonts w:eastAsiaTheme="minorEastAsia"/>
        </w:rPr>
      </w:pPr>
      <w:r>
        <w:rPr>
          <w:rFonts w:eastAsiaTheme="minorEastAsia" w:hint="eastAsia"/>
        </w:rPr>
        <w:t>G</w:t>
      </w:r>
      <w:r>
        <w:rPr>
          <w:rFonts w:eastAsiaTheme="minorEastAsia"/>
        </w:rPr>
        <w:t>iven that the agreed desired PSD range report also could be a</w:t>
      </w:r>
      <w:r w:rsidR="000D654E">
        <w:rPr>
          <w:rFonts w:eastAsiaTheme="minorEastAsia"/>
        </w:rPr>
        <w:t xml:space="preserve"> factor varying the remaining </w:t>
      </w:r>
      <w:r w:rsidR="002A3C84">
        <w:rPr>
          <w:rFonts w:eastAsiaTheme="minorEastAsia"/>
        </w:rPr>
        <w:t xml:space="preserve">transmission power of IAB-MT (this is somewhat similar with MPE, i.e. condition #6), it seems that the </w:t>
      </w:r>
      <w:r w:rsidR="002A3C84" w:rsidRPr="002A3C84">
        <w:rPr>
          <w:rFonts w:eastAsiaTheme="minorEastAsia"/>
        </w:rPr>
        <w:t xml:space="preserve">following possibilities can be considered </w:t>
      </w:r>
      <w:r w:rsidR="002A3C84">
        <w:rPr>
          <w:rFonts w:eastAsiaTheme="minorEastAsia"/>
        </w:rPr>
        <w:t>for</w:t>
      </w:r>
      <w:r w:rsidR="002A3C84" w:rsidRPr="002A3C84">
        <w:rPr>
          <w:rFonts w:eastAsiaTheme="minorEastAsia"/>
        </w:rPr>
        <w:t xml:space="preserve"> more simple/explicit operations of PHR</w:t>
      </w:r>
      <w:r w:rsidR="002A3C84">
        <w:rPr>
          <w:rFonts w:eastAsiaTheme="minorEastAsia"/>
        </w:rPr>
        <w:t>:</w:t>
      </w:r>
    </w:p>
    <w:p w14:paraId="30758B78" w14:textId="4F246659" w:rsidR="00741120" w:rsidRPr="00741120" w:rsidRDefault="00741120" w:rsidP="00741120">
      <w:pPr>
        <w:pStyle w:val="maintext"/>
        <w:numPr>
          <w:ilvl w:val="0"/>
          <w:numId w:val="29"/>
        </w:numPr>
        <w:ind w:firstLineChars="0"/>
        <w:rPr>
          <w:rFonts w:eastAsiaTheme="minorEastAsia"/>
        </w:rPr>
      </w:pPr>
      <w:r>
        <w:rPr>
          <w:rFonts w:eastAsiaTheme="minorEastAsia"/>
        </w:rPr>
        <w:t xml:space="preserve">Possible condition #7: </w:t>
      </w:r>
      <w:r w:rsidRPr="00741120">
        <w:rPr>
          <w:rFonts w:eastAsiaTheme="minorEastAsia"/>
        </w:rPr>
        <w:t xml:space="preserve">New periodic/prohibit timer for simultaneous operations </w:t>
      </w:r>
      <w:r>
        <w:rPr>
          <w:rFonts w:eastAsiaTheme="minorEastAsia"/>
        </w:rPr>
        <w:t>considering</w:t>
      </w:r>
      <w:r w:rsidRPr="00741120">
        <w:rPr>
          <w:rFonts w:eastAsiaTheme="minorEastAsia"/>
        </w:rPr>
        <w:t xml:space="preserve"> the desired PSD range</w:t>
      </w:r>
    </w:p>
    <w:p w14:paraId="70596734" w14:textId="71EF82CB" w:rsidR="002A3C84" w:rsidRDefault="00741120" w:rsidP="00741120">
      <w:pPr>
        <w:pStyle w:val="maintext"/>
        <w:numPr>
          <w:ilvl w:val="0"/>
          <w:numId w:val="29"/>
        </w:numPr>
        <w:ind w:firstLineChars="0"/>
        <w:rPr>
          <w:rFonts w:eastAsiaTheme="minorEastAsia"/>
        </w:rPr>
      </w:pPr>
      <w:r>
        <w:rPr>
          <w:rFonts w:eastAsiaTheme="minorEastAsia"/>
        </w:rPr>
        <w:t xml:space="preserve">Possible condition #8: </w:t>
      </w:r>
      <w:r w:rsidRPr="00741120">
        <w:rPr>
          <w:rFonts w:eastAsiaTheme="minorEastAsia"/>
        </w:rPr>
        <w:t xml:space="preserve">New (or re-) configuration/indication of simultaneous operations </w:t>
      </w:r>
      <w:r>
        <w:rPr>
          <w:rFonts w:eastAsiaTheme="minorEastAsia"/>
        </w:rPr>
        <w:t>considering</w:t>
      </w:r>
      <w:r w:rsidRPr="00741120">
        <w:rPr>
          <w:rFonts w:eastAsiaTheme="minorEastAsia"/>
        </w:rPr>
        <w:t xml:space="preserve"> the desired PSD range</w:t>
      </w:r>
    </w:p>
    <w:p w14:paraId="4AFADAF6" w14:textId="238992FA" w:rsidR="00622578" w:rsidRDefault="00622578" w:rsidP="002D4B81">
      <w:pPr>
        <w:pStyle w:val="maintext"/>
        <w:ind w:firstLine="440"/>
        <w:rPr>
          <w:rFonts w:eastAsiaTheme="minorEastAsia"/>
        </w:rPr>
      </w:pPr>
    </w:p>
    <w:p w14:paraId="1A38E51F" w14:textId="42202962" w:rsidR="00741120" w:rsidRDefault="00741120" w:rsidP="00741120">
      <w:pPr>
        <w:spacing w:after="120"/>
        <w:ind w:left="330" w:hangingChars="150" w:hanging="330"/>
        <w:rPr>
          <w:b/>
        </w:rPr>
      </w:pPr>
      <w:r w:rsidRPr="00E21682">
        <w:rPr>
          <w:rFonts w:hint="eastAsia"/>
          <w:b/>
        </w:rPr>
        <w:t>P</w:t>
      </w:r>
      <w:r w:rsidRPr="00E21682">
        <w:rPr>
          <w:b/>
        </w:rPr>
        <w:t xml:space="preserve">roposal </w:t>
      </w:r>
      <w:r w:rsidR="0023592A">
        <w:rPr>
          <w:b/>
        </w:rPr>
        <w:t>4</w:t>
      </w:r>
      <w:r w:rsidRPr="00E21682">
        <w:rPr>
          <w:b/>
        </w:rPr>
        <w:t xml:space="preserve">: </w:t>
      </w:r>
      <w:r w:rsidR="0023592A" w:rsidRPr="0023592A">
        <w:rPr>
          <w:b/>
        </w:rPr>
        <w:t xml:space="preserve">Send </w:t>
      </w:r>
      <w:proofErr w:type="gramStart"/>
      <w:r w:rsidR="00097846">
        <w:rPr>
          <w:b/>
        </w:rPr>
        <w:t>an</w:t>
      </w:r>
      <w:proofErr w:type="gramEnd"/>
      <w:r w:rsidR="00097846">
        <w:rPr>
          <w:b/>
        </w:rPr>
        <w:t xml:space="preserve"> </w:t>
      </w:r>
      <w:r w:rsidR="0023592A" w:rsidRPr="0023592A">
        <w:rPr>
          <w:b/>
        </w:rPr>
        <w:t xml:space="preserve">LS to RAN2 to inform that the IAB-MT </w:t>
      </w:r>
      <w:proofErr w:type="spellStart"/>
      <w:r w:rsidR="0023592A" w:rsidRPr="0023592A">
        <w:rPr>
          <w:b/>
        </w:rPr>
        <w:t>behaviour</w:t>
      </w:r>
      <w:proofErr w:type="spellEnd"/>
      <w:r w:rsidR="0023592A" w:rsidRPr="0023592A">
        <w:rPr>
          <w:b/>
        </w:rPr>
        <w:t xml:space="preserve"> when the indicated/configured UL TX power is out of range of the reported PSD value(s) in RAN2 specification(s).</w:t>
      </w:r>
    </w:p>
    <w:p w14:paraId="13BA8AA4" w14:textId="09160BE2" w:rsidR="00741120" w:rsidRDefault="0023592A" w:rsidP="00741120">
      <w:pPr>
        <w:pStyle w:val="a7"/>
        <w:numPr>
          <w:ilvl w:val="0"/>
          <w:numId w:val="17"/>
        </w:numPr>
        <w:spacing w:after="120"/>
        <w:ind w:leftChars="0"/>
        <w:rPr>
          <w:b/>
        </w:rPr>
      </w:pPr>
      <w:r>
        <w:rPr>
          <w:b/>
        </w:rPr>
        <w:t>E.g. Introduce an additional</w:t>
      </w:r>
      <w:r w:rsidRPr="0023592A">
        <w:rPr>
          <w:b/>
        </w:rPr>
        <w:t xml:space="preserve"> periodic/prohibit</w:t>
      </w:r>
      <w:r>
        <w:rPr>
          <w:b/>
        </w:rPr>
        <w:t xml:space="preserve"> PHR</w:t>
      </w:r>
      <w:r w:rsidRPr="0023592A">
        <w:rPr>
          <w:b/>
        </w:rPr>
        <w:t xml:space="preserve"> timer for simultaneous operations considering the desired PSD range</w:t>
      </w:r>
    </w:p>
    <w:p w14:paraId="766567C7" w14:textId="3857D687" w:rsidR="00741120" w:rsidRPr="002947F2" w:rsidRDefault="0023592A" w:rsidP="00741120">
      <w:pPr>
        <w:pStyle w:val="a7"/>
        <w:numPr>
          <w:ilvl w:val="0"/>
          <w:numId w:val="17"/>
        </w:numPr>
        <w:spacing w:after="120"/>
        <w:ind w:leftChars="0"/>
        <w:rPr>
          <w:b/>
        </w:rPr>
      </w:pPr>
      <w:r>
        <w:rPr>
          <w:b/>
        </w:rPr>
        <w:lastRenderedPageBreak/>
        <w:t>E.g. Introduce a PHR triggering event for n</w:t>
      </w:r>
      <w:r w:rsidRPr="0023592A">
        <w:rPr>
          <w:b/>
        </w:rPr>
        <w:t>ew (or re-) configuration/indication of simultaneous operations considering the desired PSD range</w:t>
      </w:r>
    </w:p>
    <w:p w14:paraId="2D3ACE42" w14:textId="77777777" w:rsidR="00605734" w:rsidRPr="007F3CF2" w:rsidRDefault="00605734" w:rsidP="002D4B81">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3EEE904C" w14:textId="5D22F836" w:rsidR="00002590" w:rsidRPr="00EE5EB4" w:rsidRDefault="001A668D" w:rsidP="00EE5EB4">
      <w:pPr>
        <w:pStyle w:val="maintext"/>
        <w:ind w:firstLine="440"/>
      </w:pPr>
      <w:r>
        <w:rPr>
          <w:rFonts w:hint="eastAsia"/>
        </w:rPr>
        <w:t>I</w:t>
      </w:r>
      <w:r>
        <w:t xml:space="preserve">n this contribution, ETRI’s views on </w:t>
      </w:r>
      <w:r w:rsidR="00C72617">
        <w:t>simultaneous operations for IAB</w:t>
      </w:r>
      <w:r>
        <w:t xml:space="preserve"> were shown and the following </w:t>
      </w:r>
      <w:r w:rsidR="00097846">
        <w:t xml:space="preserve">observation and </w:t>
      </w:r>
      <w:r>
        <w:t>proposals were made:</w:t>
      </w:r>
    </w:p>
    <w:p w14:paraId="78709CD2" w14:textId="77777777" w:rsidR="00AC4539" w:rsidRPr="002A373A" w:rsidRDefault="00AC4539" w:rsidP="00AC4539">
      <w:pPr>
        <w:spacing w:after="120"/>
        <w:ind w:left="330" w:hangingChars="150" w:hanging="330"/>
        <w:rPr>
          <w:b/>
        </w:rPr>
      </w:pPr>
      <w:r>
        <w:rPr>
          <w:b/>
          <w:lang w:val="en-GB"/>
        </w:rPr>
        <w:t>Observation</w:t>
      </w:r>
      <w:r w:rsidRPr="00A66E58">
        <w:rPr>
          <w:b/>
        </w:rPr>
        <w:t xml:space="preserve"> </w:t>
      </w:r>
      <w:r>
        <w:rPr>
          <w:b/>
        </w:rPr>
        <w:t>1</w:t>
      </w:r>
      <w:r w:rsidRPr="00A66E58">
        <w:rPr>
          <w:b/>
        </w:rPr>
        <w:t xml:space="preserve">: </w:t>
      </w:r>
      <w:r>
        <w:rPr>
          <w:b/>
        </w:rPr>
        <w:t xml:space="preserve">According to </w:t>
      </w:r>
      <w:r w:rsidRPr="000E6345">
        <w:rPr>
          <w:b/>
        </w:rPr>
        <w:t>the agreements from RAN1#106b-e meeting (i.e., “the indicated DL TX power adjustment is not applied to SSBs”),</w:t>
      </w:r>
      <w:r>
        <w:rPr>
          <w:b/>
        </w:rPr>
        <w:t xml:space="preserve"> t</w:t>
      </w:r>
      <w:r w:rsidRPr="000E6345">
        <w:rPr>
          <w:b/>
        </w:rPr>
        <w:t xml:space="preserve">he IAB MT may not assume the configured </w:t>
      </w:r>
      <w:proofErr w:type="spellStart"/>
      <w:proofErr w:type="gramStart"/>
      <w:r w:rsidRPr="000E6345">
        <w:rPr>
          <w:b/>
        </w:rPr>
        <w:t>Pc,SS</w:t>
      </w:r>
      <w:proofErr w:type="spellEnd"/>
      <w:proofErr w:type="gramEnd"/>
      <w:r>
        <w:rPr>
          <w:b/>
        </w:rPr>
        <w:t xml:space="preserve"> (by </w:t>
      </w:r>
      <w:proofErr w:type="spellStart"/>
      <w:r w:rsidRPr="000E6345">
        <w:rPr>
          <w:b/>
          <w:i/>
        </w:rPr>
        <w:t>powerControlOffsetSS</w:t>
      </w:r>
      <w:proofErr w:type="spellEnd"/>
      <w:r>
        <w:rPr>
          <w:b/>
        </w:rPr>
        <w:t>)</w:t>
      </w:r>
      <w:r w:rsidRPr="000E6345">
        <w:rPr>
          <w:b/>
        </w:rPr>
        <w:t xml:space="preserve"> for the time resources where a non-TDM multiplexing mode is configured/indicated</w:t>
      </w:r>
      <w:r>
        <w:rPr>
          <w:b/>
        </w:rPr>
        <w:t>.</w:t>
      </w:r>
    </w:p>
    <w:p w14:paraId="31F907A0" w14:textId="77777777" w:rsidR="00097846" w:rsidRDefault="00097846" w:rsidP="00097846">
      <w:pPr>
        <w:spacing w:after="120"/>
        <w:ind w:left="330" w:hangingChars="150" w:hanging="330"/>
        <w:rPr>
          <w:b/>
        </w:rPr>
      </w:pPr>
    </w:p>
    <w:p w14:paraId="3D1B30E5" w14:textId="193C1B89" w:rsidR="00097846" w:rsidRDefault="00097846" w:rsidP="00097846">
      <w:pPr>
        <w:spacing w:after="120"/>
        <w:ind w:left="330" w:hangingChars="150" w:hanging="330"/>
        <w:rPr>
          <w:b/>
        </w:rPr>
      </w:pPr>
      <w:r w:rsidRPr="00A66E58">
        <w:rPr>
          <w:rFonts w:hint="eastAsia"/>
          <w:b/>
        </w:rPr>
        <w:t>P</w:t>
      </w:r>
      <w:r w:rsidRPr="00A66E58">
        <w:rPr>
          <w:b/>
        </w:rPr>
        <w:t xml:space="preserve">roposal </w:t>
      </w:r>
      <w:r>
        <w:rPr>
          <w:b/>
        </w:rPr>
        <w:t>1</w:t>
      </w:r>
      <w:r w:rsidRPr="00A66E58">
        <w:rPr>
          <w:b/>
        </w:rPr>
        <w:t xml:space="preserve">: </w:t>
      </w:r>
      <w:r>
        <w:rPr>
          <w:b/>
        </w:rPr>
        <w:t>Support one of the following options for IAB MT’s PDCCH power assumption under the DL power adjustment:</w:t>
      </w:r>
    </w:p>
    <w:p w14:paraId="572F9CD4" w14:textId="77777777" w:rsidR="00097846" w:rsidRDefault="00097846" w:rsidP="00097846">
      <w:pPr>
        <w:pStyle w:val="a7"/>
        <w:numPr>
          <w:ilvl w:val="0"/>
          <w:numId w:val="27"/>
        </w:numPr>
        <w:spacing w:after="120"/>
        <w:ind w:leftChars="0"/>
        <w:rPr>
          <w:b/>
        </w:rPr>
      </w:pPr>
      <w:r>
        <w:rPr>
          <w:rFonts w:hint="eastAsia"/>
          <w:b/>
        </w:rPr>
        <w:t>O</w:t>
      </w:r>
      <w:r>
        <w:rPr>
          <w:b/>
        </w:rPr>
        <w:t>ption 1: For the time resources associated with the DL power adjustment, t</w:t>
      </w:r>
      <w:r w:rsidRPr="00FA2675">
        <w:rPr>
          <w:b/>
        </w:rPr>
        <w:t xml:space="preserve">he UE/IAB-MT may assume </w:t>
      </w:r>
      <w:proofErr w:type="spellStart"/>
      <w:proofErr w:type="gramStart"/>
      <w:r w:rsidRPr="001E26A3">
        <w:rPr>
          <w:b/>
        </w:rPr>
        <w:t>Pc,PDCCH</w:t>
      </w:r>
      <w:proofErr w:type="spellEnd"/>
      <w:proofErr w:type="gramEnd"/>
      <w:r w:rsidRPr="001E26A3">
        <w:rPr>
          <w:b/>
        </w:rPr>
        <w:t xml:space="preserve"> (the assumed ratio of NZP CSI-RS EPRE to PDCCH EPRE)</w:t>
      </w:r>
      <w:r>
        <w:rPr>
          <w:b/>
        </w:rPr>
        <w:t xml:space="preserve">, which is NOT 0 </w:t>
      </w:r>
      <w:proofErr w:type="spellStart"/>
      <w:r>
        <w:rPr>
          <w:b/>
        </w:rPr>
        <w:t>dB</w:t>
      </w:r>
      <w:r w:rsidRPr="00FA2675">
        <w:rPr>
          <w:b/>
        </w:rPr>
        <w:t>.</w:t>
      </w:r>
      <w:proofErr w:type="spellEnd"/>
    </w:p>
    <w:p w14:paraId="58A05079" w14:textId="77777777" w:rsidR="00097846" w:rsidRPr="00FA2675" w:rsidRDefault="00097846" w:rsidP="00097846">
      <w:pPr>
        <w:pStyle w:val="a7"/>
        <w:numPr>
          <w:ilvl w:val="0"/>
          <w:numId w:val="27"/>
        </w:numPr>
        <w:spacing w:after="120"/>
        <w:ind w:leftChars="0"/>
        <w:rPr>
          <w:b/>
        </w:rPr>
      </w:pPr>
      <w:r>
        <w:rPr>
          <w:rFonts w:hint="eastAsia"/>
          <w:b/>
        </w:rPr>
        <w:t>O</w:t>
      </w:r>
      <w:r>
        <w:rPr>
          <w:b/>
        </w:rPr>
        <w:t xml:space="preserve">ption 2: Introduce a higher-layer parameter to configure </w:t>
      </w:r>
      <w:proofErr w:type="spellStart"/>
      <w:proofErr w:type="gramStart"/>
      <w:r w:rsidRPr="006B01AA">
        <w:rPr>
          <w:b/>
        </w:rPr>
        <w:t>Pc,PDCCH</w:t>
      </w:r>
      <w:proofErr w:type="spellEnd"/>
      <w:proofErr w:type="gramEnd"/>
      <w:r w:rsidRPr="006B01AA">
        <w:rPr>
          <w:b/>
        </w:rPr>
        <w:t xml:space="preserve"> (the assumed ratio of NZP CSI-RS EPRE to PDCCH EPRE)</w:t>
      </w:r>
      <w:r>
        <w:rPr>
          <w:b/>
        </w:rPr>
        <w:t xml:space="preserve"> f</w:t>
      </w:r>
      <w:r w:rsidRPr="006B01AA">
        <w:rPr>
          <w:b/>
        </w:rPr>
        <w:t>or the time resources associated with the DL power adjustment</w:t>
      </w:r>
      <w:r>
        <w:rPr>
          <w:b/>
        </w:rPr>
        <w:t>.</w:t>
      </w:r>
    </w:p>
    <w:p w14:paraId="1CA8883B" w14:textId="77777777" w:rsidR="00097846" w:rsidRDefault="00097846" w:rsidP="00097846">
      <w:pPr>
        <w:spacing w:after="120"/>
        <w:ind w:left="330" w:hangingChars="150" w:hanging="330"/>
        <w:rPr>
          <w:b/>
        </w:rPr>
      </w:pPr>
    </w:p>
    <w:p w14:paraId="02E52077" w14:textId="167EE1C9" w:rsidR="00097846" w:rsidRDefault="00097846" w:rsidP="00097846">
      <w:pPr>
        <w:spacing w:after="120"/>
        <w:ind w:left="330" w:hangingChars="150" w:hanging="330"/>
        <w:rPr>
          <w:b/>
        </w:rPr>
      </w:pPr>
      <w:r>
        <w:rPr>
          <w:b/>
        </w:rPr>
        <w:t>Proposal</w:t>
      </w:r>
      <w:r w:rsidRPr="00537782">
        <w:rPr>
          <w:b/>
        </w:rPr>
        <w:t xml:space="preserve"> </w:t>
      </w:r>
      <w:r>
        <w:rPr>
          <w:b/>
        </w:rPr>
        <w:t>2</w:t>
      </w:r>
      <w:r w:rsidRPr="00537782">
        <w:rPr>
          <w:b/>
        </w:rPr>
        <w:t xml:space="preserve">: </w:t>
      </w:r>
      <w:r>
        <w:rPr>
          <w:b/>
        </w:rPr>
        <w:t xml:space="preserve">Support different DL power adjustments for the following signals/channels to </w:t>
      </w:r>
      <w:r w:rsidRPr="00F850AC">
        <w:rPr>
          <w:b/>
        </w:rPr>
        <w:t>handl</w:t>
      </w:r>
      <w:r>
        <w:rPr>
          <w:b/>
        </w:rPr>
        <w:t>e the</w:t>
      </w:r>
      <w:r w:rsidRPr="00F850AC">
        <w:rPr>
          <w:b/>
        </w:rPr>
        <w:t xml:space="preserve"> cell-specific or semi-static signals/channels</w:t>
      </w:r>
      <w:r>
        <w:rPr>
          <w:b/>
        </w:rPr>
        <w:t>.</w:t>
      </w:r>
    </w:p>
    <w:p w14:paraId="2B1B2D5A" w14:textId="77777777" w:rsidR="00097846" w:rsidRDefault="00097846" w:rsidP="00097846">
      <w:pPr>
        <w:pStyle w:val="a7"/>
        <w:numPr>
          <w:ilvl w:val="0"/>
          <w:numId w:val="26"/>
        </w:numPr>
        <w:spacing w:after="120"/>
        <w:ind w:leftChars="0"/>
        <w:rPr>
          <w:b/>
        </w:rPr>
      </w:pPr>
      <w:r>
        <w:rPr>
          <w:rFonts w:hint="eastAsia"/>
          <w:b/>
        </w:rPr>
        <w:t>S</w:t>
      </w:r>
      <w:r>
        <w:rPr>
          <w:b/>
        </w:rPr>
        <w:t>SB (already agreed as not to apply the DL power adjustment)</w:t>
      </w:r>
    </w:p>
    <w:p w14:paraId="4CA7B169" w14:textId="77777777" w:rsidR="00097846" w:rsidRDefault="00097846" w:rsidP="00097846">
      <w:pPr>
        <w:pStyle w:val="a7"/>
        <w:numPr>
          <w:ilvl w:val="0"/>
          <w:numId w:val="26"/>
        </w:numPr>
        <w:spacing w:after="120"/>
        <w:ind w:leftChars="0"/>
        <w:rPr>
          <w:b/>
        </w:rPr>
      </w:pPr>
      <w:r>
        <w:rPr>
          <w:rFonts w:hint="eastAsia"/>
          <w:b/>
        </w:rPr>
        <w:t>P</w:t>
      </w:r>
      <w:r>
        <w:rPr>
          <w:b/>
        </w:rPr>
        <w:t>DCCH DMRS (per the proposal 1 above)</w:t>
      </w:r>
    </w:p>
    <w:p w14:paraId="584DE036" w14:textId="77777777" w:rsidR="00097846" w:rsidRDefault="00097846" w:rsidP="00097846">
      <w:pPr>
        <w:pStyle w:val="a7"/>
        <w:numPr>
          <w:ilvl w:val="0"/>
          <w:numId w:val="26"/>
        </w:numPr>
        <w:spacing w:after="120"/>
        <w:ind w:leftChars="0"/>
        <w:rPr>
          <w:b/>
        </w:rPr>
      </w:pPr>
      <w:r>
        <w:rPr>
          <w:rFonts w:hint="eastAsia"/>
          <w:b/>
        </w:rPr>
        <w:t>C</w:t>
      </w:r>
      <w:r>
        <w:rPr>
          <w:b/>
        </w:rPr>
        <w:t>SI-RS (based on TCI state ID or RS ID)</w:t>
      </w:r>
    </w:p>
    <w:p w14:paraId="3E9F5401" w14:textId="77777777" w:rsidR="00097846" w:rsidRPr="004B1784" w:rsidRDefault="00097846" w:rsidP="00097846">
      <w:pPr>
        <w:pStyle w:val="a7"/>
        <w:numPr>
          <w:ilvl w:val="0"/>
          <w:numId w:val="26"/>
        </w:numPr>
        <w:spacing w:after="120"/>
        <w:ind w:leftChars="0"/>
        <w:rPr>
          <w:b/>
        </w:rPr>
      </w:pPr>
      <w:r>
        <w:rPr>
          <w:rFonts w:hint="eastAsia"/>
          <w:b/>
        </w:rPr>
        <w:t>P</w:t>
      </w:r>
      <w:r>
        <w:rPr>
          <w:b/>
        </w:rPr>
        <w:t>DSCH DMRS (based on TCI state ID or QCL/TCI chain rule)</w:t>
      </w:r>
    </w:p>
    <w:p w14:paraId="016682C8" w14:textId="77777777" w:rsidR="00097846" w:rsidRDefault="00097846" w:rsidP="00097846">
      <w:pPr>
        <w:pStyle w:val="maintext"/>
        <w:ind w:firstLine="440"/>
        <w:rPr>
          <w:rFonts w:eastAsiaTheme="minorEastAsia"/>
        </w:rPr>
      </w:pPr>
    </w:p>
    <w:p w14:paraId="54B3F305" w14:textId="77777777" w:rsidR="00097846" w:rsidRDefault="00097846" w:rsidP="00097846">
      <w:pPr>
        <w:spacing w:after="120"/>
        <w:ind w:left="330" w:hangingChars="150" w:hanging="330"/>
      </w:pPr>
      <w:r w:rsidRPr="00A66E58">
        <w:rPr>
          <w:rFonts w:hint="eastAsia"/>
          <w:b/>
        </w:rPr>
        <w:t>P</w:t>
      </w:r>
      <w:r w:rsidRPr="00A66E58">
        <w:rPr>
          <w:b/>
        </w:rPr>
        <w:t xml:space="preserve">roposal </w:t>
      </w:r>
      <w:r>
        <w:rPr>
          <w:b/>
        </w:rPr>
        <w:t>3</w:t>
      </w:r>
      <w:r w:rsidRPr="00A66E58">
        <w:rPr>
          <w:b/>
        </w:rPr>
        <w:t xml:space="preserve">: </w:t>
      </w:r>
      <w:r>
        <w:rPr>
          <w:b/>
        </w:rPr>
        <w:t>T</w:t>
      </w:r>
      <w:r w:rsidRPr="00585647">
        <w:rPr>
          <w:b/>
        </w:rPr>
        <w:t>he UE</w:t>
      </w:r>
      <w:r>
        <w:rPr>
          <w:b/>
        </w:rPr>
        <w:t>/IAB-MT</w:t>
      </w:r>
      <w:r w:rsidRPr="00585647">
        <w:rPr>
          <w:b/>
        </w:rPr>
        <w:t xml:space="preserve"> may assume the same DL power adjustment according to the QCL/TCI chain rule</w:t>
      </w:r>
      <w:r>
        <w:rPr>
          <w:b/>
        </w:rPr>
        <w:t>.</w:t>
      </w:r>
    </w:p>
    <w:p w14:paraId="468FD0B3" w14:textId="77777777" w:rsidR="00097846" w:rsidRDefault="00097846" w:rsidP="00097846">
      <w:pPr>
        <w:spacing w:after="120"/>
        <w:ind w:left="330" w:hangingChars="150" w:hanging="330"/>
        <w:rPr>
          <w:b/>
        </w:rPr>
      </w:pPr>
    </w:p>
    <w:p w14:paraId="0AFE6CBE" w14:textId="4B253092" w:rsidR="00097846" w:rsidRDefault="00097846" w:rsidP="00097846">
      <w:pPr>
        <w:spacing w:after="120"/>
        <w:ind w:left="330" w:hangingChars="150" w:hanging="330"/>
        <w:rPr>
          <w:b/>
        </w:rPr>
      </w:pPr>
      <w:r w:rsidRPr="00E21682">
        <w:rPr>
          <w:rFonts w:hint="eastAsia"/>
          <w:b/>
        </w:rPr>
        <w:t>P</w:t>
      </w:r>
      <w:r w:rsidRPr="00E21682">
        <w:rPr>
          <w:b/>
        </w:rPr>
        <w:t xml:space="preserve">roposal </w:t>
      </w:r>
      <w:r>
        <w:rPr>
          <w:b/>
        </w:rPr>
        <w:t>4</w:t>
      </w:r>
      <w:r w:rsidRPr="00E21682">
        <w:rPr>
          <w:b/>
        </w:rPr>
        <w:t xml:space="preserve">: </w:t>
      </w:r>
      <w:r w:rsidRPr="0023592A">
        <w:rPr>
          <w:b/>
        </w:rPr>
        <w:t xml:space="preserve">Send </w:t>
      </w:r>
      <w:proofErr w:type="gramStart"/>
      <w:r>
        <w:rPr>
          <w:b/>
        </w:rPr>
        <w:t>an</w:t>
      </w:r>
      <w:proofErr w:type="gramEnd"/>
      <w:r>
        <w:rPr>
          <w:b/>
        </w:rPr>
        <w:t xml:space="preserve"> </w:t>
      </w:r>
      <w:r w:rsidRPr="0023592A">
        <w:rPr>
          <w:b/>
        </w:rPr>
        <w:t xml:space="preserve">LS to RAN2 to inform that the IAB-MT </w:t>
      </w:r>
      <w:proofErr w:type="spellStart"/>
      <w:r w:rsidRPr="0023592A">
        <w:rPr>
          <w:b/>
        </w:rPr>
        <w:t>behaviour</w:t>
      </w:r>
      <w:proofErr w:type="spellEnd"/>
      <w:r w:rsidRPr="0023592A">
        <w:rPr>
          <w:b/>
        </w:rPr>
        <w:t xml:space="preserve"> when the indicated/configured UL TX power is out of range of the reported PSD value(s) in RAN2 specification(s).</w:t>
      </w:r>
    </w:p>
    <w:p w14:paraId="5D9E7E27" w14:textId="77777777" w:rsidR="00097846" w:rsidRDefault="00097846" w:rsidP="00097846">
      <w:pPr>
        <w:pStyle w:val="a7"/>
        <w:numPr>
          <w:ilvl w:val="0"/>
          <w:numId w:val="17"/>
        </w:numPr>
        <w:spacing w:after="120"/>
        <w:ind w:leftChars="0"/>
        <w:rPr>
          <w:b/>
        </w:rPr>
      </w:pPr>
      <w:r>
        <w:rPr>
          <w:b/>
        </w:rPr>
        <w:t>E.g. Introduce an additional</w:t>
      </w:r>
      <w:r w:rsidRPr="0023592A">
        <w:rPr>
          <w:b/>
        </w:rPr>
        <w:t xml:space="preserve"> periodic/prohibit</w:t>
      </w:r>
      <w:r>
        <w:rPr>
          <w:b/>
        </w:rPr>
        <w:t xml:space="preserve"> PHR</w:t>
      </w:r>
      <w:r w:rsidRPr="0023592A">
        <w:rPr>
          <w:b/>
        </w:rPr>
        <w:t xml:space="preserve"> timer for simultaneous operations considering the desired PSD range</w:t>
      </w:r>
    </w:p>
    <w:p w14:paraId="245A82CC" w14:textId="77777777" w:rsidR="00097846" w:rsidRPr="002947F2" w:rsidRDefault="00097846" w:rsidP="00097846">
      <w:pPr>
        <w:pStyle w:val="a7"/>
        <w:numPr>
          <w:ilvl w:val="0"/>
          <w:numId w:val="17"/>
        </w:numPr>
        <w:spacing w:after="120"/>
        <w:ind w:leftChars="0"/>
        <w:rPr>
          <w:b/>
        </w:rPr>
      </w:pPr>
      <w:r>
        <w:rPr>
          <w:b/>
        </w:rPr>
        <w:t>E.g. Introduce a PHR triggering event for n</w:t>
      </w:r>
      <w:r w:rsidRPr="0023592A">
        <w:rPr>
          <w:b/>
        </w:rPr>
        <w:t>ew (or re-) configuration/indication of simultaneous operations considering the desired PSD range</w:t>
      </w:r>
    </w:p>
    <w:p w14:paraId="7B835569" w14:textId="77777777" w:rsidR="00AC4539" w:rsidRPr="00B90473" w:rsidRDefault="00AC4539"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40961010" w14:textId="6C8A0FDE" w:rsidR="00F5538D" w:rsidRDefault="00E87A7B" w:rsidP="007E621A">
      <w:pPr>
        <w:pStyle w:val="a7"/>
        <w:numPr>
          <w:ilvl w:val="0"/>
          <w:numId w:val="3"/>
        </w:numPr>
        <w:spacing w:after="120"/>
        <w:ind w:leftChars="0"/>
      </w:pPr>
      <w:bookmarkStart w:id="6" w:name="_Ref78979756"/>
      <w:r>
        <w:rPr>
          <w:rFonts w:hint="eastAsia"/>
        </w:rPr>
        <w:t>3</w:t>
      </w:r>
      <w:r>
        <w:t>GPP RAN1#10</w:t>
      </w:r>
      <w:r w:rsidR="007E621A">
        <w:t>6bis</w:t>
      </w:r>
      <w:r>
        <w:t>-e Chair notes</w:t>
      </w:r>
      <w:bookmarkEnd w:id="6"/>
    </w:p>
    <w:p w14:paraId="078F9649" w14:textId="37AA8818" w:rsidR="00622578" w:rsidRDefault="00622578" w:rsidP="007E621A">
      <w:pPr>
        <w:pStyle w:val="a7"/>
        <w:numPr>
          <w:ilvl w:val="0"/>
          <w:numId w:val="3"/>
        </w:numPr>
        <w:spacing w:after="120"/>
        <w:ind w:leftChars="0"/>
      </w:pPr>
      <w:bookmarkStart w:id="7" w:name="_Ref86917639"/>
      <w:r>
        <w:rPr>
          <w:rFonts w:hint="eastAsia"/>
        </w:rPr>
        <w:t>3</w:t>
      </w:r>
      <w:r>
        <w:t>GPP TS38.321</w:t>
      </w:r>
      <w:bookmarkEnd w:id="7"/>
    </w:p>
    <w:sectPr w:rsidR="00622578" w:rsidSect="006D7DF9">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DE673" w14:textId="77777777" w:rsidR="002B1F96" w:rsidRDefault="002B1F96" w:rsidP="00334902">
      <w:pPr>
        <w:spacing w:after="120"/>
      </w:pPr>
      <w:r>
        <w:separator/>
      </w:r>
    </w:p>
  </w:endnote>
  <w:endnote w:type="continuationSeparator" w:id="0">
    <w:p w14:paraId="5B35887D" w14:textId="77777777" w:rsidR="002B1F96" w:rsidRDefault="002B1F96"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1B6CB5" w:rsidRDefault="001B6CB5">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1B6CB5" w:rsidRPr="006A7292" w:rsidRDefault="001B6CB5">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1B6CB5" w:rsidRPr="006A7292" w:rsidRDefault="001B6CB5">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1B6CB5" w:rsidRDefault="001B6CB5">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CACBC" w14:textId="77777777" w:rsidR="002B1F96" w:rsidRDefault="002B1F96" w:rsidP="00334902">
      <w:pPr>
        <w:spacing w:after="120"/>
      </w:pPr>
      <w:r>
        <w:separator/>
      </w:r>
    </w:p>
  </w:footnote>
  <w:footnote w:type="continuationSeparator" w:id="0">
    <w:p w14:paraId="42D88690" w14:textId="77777777" w:rsidR="002B1F96" w:rsidRDefault="002B1F96"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1B6CB5" w:rsidRDefault="001B6CB5">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1B6CB5" w:rsidRDefault="001B6CB5">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1B6CB5" w:rsidRDefault="001B6CB5">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D262BDD"/>
    <w:multiLevelType w:val="hybridMultilevel"/>
    <w:tmpl w:val="CD76A37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0D4EE4"/>
    <w:multiLevelType w:val="hybridMultilevel"/>
    <w:tmpl w:val="7CFC39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C90E26"/>
    <w:multiLevelType w:val="hybridMultilevel"/>
    <w:tmpl w:val="FAB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A779C2"/>
    <w:multiLevelType w:val="hybridMultilevel"/>
    <w:tmpl w:val="8FDA450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2F2BDA"/>
    <w:multiLevelType w:val="hybridMultilevel"/>
    <w:tmpl w:val="07BE7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BC0630"/>
    <w:multiLevelType w:val="hybridMultilevel"/>
    <w:tmpl w:val="291CA4E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843678C"/>
    <w:multiLevelType w:val="hybridMultilevel"/>
    <w:tmpl w:val="6B38CDF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2EA2FB3"/>
    <w:multiLevelType w:val="hybridMultilevel"/>
    <w:tmpl w:val="7424FF4A"/>
    <w:lvl w:ilvl="0" w:tplc="2F401BE8">
      <w:start w:val="1"/>
      <w:numFmt w:val="bullet"/>
      <w:lvlText w:val=""/>
      <w:lvlJc w:val="left"/>
      <w:pPr>
        <w:ind w:left="800" w:hanging="400"/>
      </w:pPr>
      <w:rPr>
        <w:rFonts w:ascii="Wingdings" w:hAnsi="Wingdings" w:hint="default"/>
      </w:rPr>
    </w:lvl>
    <w:lvl w:ilvl="1" w:tplc="9E7EEB7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A20B29"/>
    <w:multiLevelType w:val="hybridMultilevel"/>
    <w:tmpl w:val="895AA2E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68FA078E"/>
    <w:multiLevelType w:val="hybridMultilevel"/>
    <w:tmpl w:val="F514AAB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5B44656"/>
    <w:multiLevelType w:val="hybridMultilevel"/>
    <w:tmpl w:val="4990957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2"/>
  </w:num>
  <w:num w:numId="4">
    <w:abstractNumId w:val="4"/>
  </w:num>
  <w:num w:numId="5">
    <w:abstractNumId w:val="26"/>
  </w:num>
  <w:num w:numId="6">
    <w:abstractNumId w:val="1"/>
  </w:num>
  <w:num w:numId="7">
    <w:abstractNumId w:val="12"/>
  </w:num>
  <w:num w:numId="8">
    <w:abstractNumId w:val="18"/>
  </w:num>
  <w:num w:numId="9">
    <w:abstractNumId w:val="21"/>
  </w:num>
  <w:num w:numId="10">
    <w:abstractNumId w:val="16"/>
  </w:num>
  <w:num w:numId="11">
    <w:abstractNumId w:val="22"/>
  </w:num>
  <w:num w:numId="12">
    <w:abstractNumId w:val="19"/>
  </w:num>
  <w:num w:numId="13">
    <w:abstractNumId w:val="3"/>
  </w:num>
  <w:num w:numId="14">
    <w:abstractNumId w:val="17"/>
  </w:num>
  <w:num w:numId="15">
    <w:abstractNumId w:val="27"/>
  </w:num>
  <w:num w:numId="16">
    <w:abstractNumId w:val="14"/>
  </w:num>
  <w:num w:numId="17">
    <w:abstractNumId w:val="13"/>
  </w:num>
  <w:num w:numId="18">
    <w:abstractNumId w:val="10"/>
  </w:num>
  <w:num w:numId="19">
    <w:abstractNumId w:val="8"/>
  </w:num>
  <w:num w:numId="20">
    <w:abstractNumId w:val="28"/>
  </w:num>
  <w:num w:numId="21">
    <w:abstractNumId w:val="6"/>
  </w:num>
  <w:num w:numId="22">
    <w:abstractNumId w:val="0"/>
  </w:num>
  <w:num w:numId="23">
    <w:abstractNumId w:val="11"/>
  </w:num>
  <w:num w:numId="24">
    <w:abstractNumId w:val="5"/>
  </w:num>
  <w:num w:numId="25">
    <w:abstractNumId w:val="15"/>
  </w:num>
  <w:num w:numId="26">
    <w:abstractNumId w:val="9"/>
  </w:num>
  <w:num w:numId="27">
    <w:abstractNumId w:val="25"/>
  </w:num>
  <w:num w:numId="28">
    <w:abstractNumId w:val="7"/>
  </w:num>
  <w:num w:numId="29">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2590"/>
    <w:rsid w:val="00002AF8"/>
    <w:rsid w:val="0000307F"/>
    <w:rsid w:val="0000376C"/>
    <w:rsid w:val="00006680"/>
    <w:rsid w:val="00007A46"/>
    <w:rsid w:val="000103AC"/>
    <w:rsid w:val="00015077"/>
    <w:rsid w:val="000157C6"/>
    <w:rsid w:val="00015CA1"/>
    <w:rsid w:val="00015D6A"/>
    <w:rsid w:val="00017334"/>
    <w:rsid w:val="000174C7"/>
    <w:rsid w:val="000179E3"/>
    <w:rsid w:val="00020746"/>
    <w:rsid w:val="00024E0C"/>
    <w:rsid w:val="00024F23"/>
    <w:rsid w:val="00025107"/>
    <w:rsid w:val="0002516B"/>
    <w:rsid w:val="0002548E"/>
    <w:rsid w:val="00026864"/>
    <w:rsid w:val="000311F5"/>
    <w:rsid w:val="000315DF"/>
    <w:rsid w:val="00031702"/>
    <w:rsid w:val="0003175D"/>
    <w:rsid w:val="00032260"/>
    <w:rsid w:val="000326A6"/>
    <w:rsid w:val="00033287"/>
    <w:rsid w:val="000351A3"/>
    <w:rsid w:val="00040705"/>
    <w:rsid w:val="0004095F"/>
    <w:rsid w:val="00041080"/>
    <w:rsid w:val="00042060"/>
    <w:rsid w:val="0004249A"/>
    <w:rsid w:val="000436E9"/>
    <w:rsid w:val="00044597"/>
    <w:rsid w:val="00044779"/>
    <w:rsid w:val="000467AA"/>
    <w:rsid w:val="000503B8"/>
    <w:rsid w:val="00051369"/>
    <w:rsid w:val="00051DC7"/>
    <w:rsid w:val="00053517"/>
    <w:rsid w:val="0005471B"/>
    <w:rsid w:val="0005486E"/>
    <w:rsid w:val="00054D15"/>
    <w:rsid w:val="00055C2D"/>
    <w:rsid w:val="0005698B"/>
    <w:rsid w:val="000572EB"/>
    <w:rsid w:val="00057D87"/>
    <w:rsid w:val="00060748"/>
    <w:rsid w:val="0006140F"/>
    <w:rsid w:val="00061DC4"/>
    <w:rsid w:val="00062940"/>
    <w:rsid w:val="00062D1F"/>
    <w:rsid w:val="00063242"/>
    <w:rsid w:val="00063365"/>
    <w:rsid w:val="00063394"/>
    <w:rsid w:val="00063C55"/>
    <w:rsid w:val="00063E69"/>
    <w:rsid w:val="000643FB"/>
    <w:rsid w:val="0006457F"/>
    <w:rsid w:val="000654E9"/>
    <w:rsid w:val="0006739A"/>
    <w:rsid w:val="000677E3"/>
    <w:rsid w:val="0007052A"/>
    <w:rsid w:val="00070C6B"/>
    <w:rsid w:val="000711F2"/>
    <w:rsid w:val="00071EC1"/>
    <w:rsid w:val="0007289D"/>
    <w:rsid w:val="00072D9B"/>
    <w:rsid w:val="00072E5E"/>
    <w:rsid w:val="00073038"/>
    <w:rsid w:val="0007417A"/>
    <w:rsid w:val="00075E97"/>
    <w:rsid w:val="00076217"/>
    <w:rsid w:val="00076876"/>
    <w:rsid w:val="00076EA8"/>
    <w:rsid w:val="000804D3"/>
    <w:rsid w:val="0008099F"/>
    <w:rsid w:val="0008301D"/>
    <w:rsid w:val="0008379C"/>
    <w:rsid w:val="00083BF7"/>
    <w:rsid w:val="000840D8"/>
    <w:rsid w:val="00086064"/>
    <w:rsid w:val="000870CC"/>
    <w:rsid w:val="0008793B"/>
    <w:rsid w:val="00087F5E"/>
    <w:rsid w:val="00090D50"/>
    <w:rsid w:val="000911D3"/>
    <w:rsid w:val="000921C4"/>
    <w:rsid w:val="00093834"/>
    <w:rsid w:val="0009394E"/>
    <w:rsid w:val="00093D6D"/>
    <w:rsid w:val="00093F21"/>
    <w:rsid w:val="00095004"/>
    <w:rsid w:val="0009568B"/>
    <w:rsid w:val="0009690E"/>
    <w:rsid w:val="00096F1C"/>
    <w:rsid w:val="0009767F"/>
    <w:rsid w:val="00097846"/>
    <w:rsid w:val="00097C47"/>
    <w:rsid w:val="00097C65"/>
    <w:rsid w:val="000A00AA"/>
    <w:rsid w:val="000A0775"/>
    <w:rsid w:val="000A1A47"/>
    <w:rsid w:val="000A2633"/>
    <w:rsid w:val="000A3363"/>
    <w:rsid w:val="000A3513"/>
    <w:rsid w:val="000A5647"/>
    <w:rsid w:val="000A565B"/>
    <w:rsid w:val="000A5723"/>
    <w:rsid w:val="000A629F"/>
    <w:rsid w:val="000A6663"/>
    <w:rsid w:val="000A741D"/>
    <w:rsid w:val="000B1076"/>
    <w:rsid w:val="000B183E"/>
    <w:rsid w:val="000B1924"/>
    <w:rsid w:val="000B1CA5"/>
    <w:rsid w:val="000B33C3"/>
    <w:rsid w:val="000B433D"/>
    <w:rsid w:val="000B4E8A"/>
    <w:rsid w:val="000B6AB4"/>
    <w:rsid w:val="000B74C6"/>
    <w:rsid w:val="000B7B24"/>
    <w:rsid w:val="000C039B"/>
    <w:rsid w:val="000C03AD"/>
    <w:rsid w:val="000C07C0"/>
    <w:rsid w:val="000C1F1E"/>
    <w:rsid w:val="000C2077"/>
    <w:rsid w:val="000C26AC"/>
    <w:rsid w:val="000C31FF"/>
    <w:rsid w:val="000C4119"/>
    <w:rsid w:val="000C4588"/>
    <w:rsid w:val="000C6002"/>
    <w:rsid w:val="000C7436"/>
    <w:rsid w:val="000C7479"/>
    <w:rsid w:val="000C7552"/>
    <w:rsid w:val="000D2376"/>
    <w:rsid w:val="000D25D3"/>
    <w:rsid w:val="000D2717"/>
    <w:rsid w:val="000D39CD"/>
    <w:rsid w:val="000D3B1A"/>
    <w:rsid w:val="000D3CE4"/>
    <w:rsid w:val="000D516F"/>
    <w:rsid w:val="000D5A98"/>
    <w:rsid w:val="000D654E"/>
    <w:rsid w:val="000D696A"/>
    <w:rsid w:val="000D6B46"/>
    <w:rsid w:val="000E07B8"/>
    <w:rsid w:val="000E312E"/>
    <w:rsid w:val="000E354C"/>
    <w:rsid w:val="000E3588"/>
    <w:rsid w:val="000E476D"/>
    <w:rsid w:val="000E6345"/>
    <w:rsid w:val="000E6747"/>
    <w:rsid w:val="000E7395"/>
    <w:rsid w:val="000E7A41"/>
    <w:rsid w:val="000F036E"/>
    <w:rsid w:val="000F05B6"/>
    <w:rsid w:val="000F157F"/>
    <w:rsid w:val="000F1952"/>
    <w:rsid w:val="000F2033"/>
    <w:rsid w:val="000F255D"/>
    <w:rsid w:val="000F26F6"/>
    <w:rsid w:val="000F29E3"/>
    <w:rsid w:val="000F2B1E"/>
    <w:rsid w:val="000F3963"/>
    <w:rsid w:val="000F453B"/>
    <w:rsid w:val="000F49D8"/>
    <w:rsid w:val="000F4B38"/>
    <w:rsid w:val="000F635E"/>
    <w:rsid w:val="000F6B87"/>
    <w:rsid w:val="000F6F4D"/>
    <w:rsid w:val="00100242"/>
    <w:rsid w:val="001002CE"/>
    <w:rsid w:val="00100A7C"/>
    <w:rsid w:val="00101D82"/>
    <w:rsid w:val="0010209C"/>
    <w:rsid w:val="001020AC"/>
    <w:rsid w:val="00104026"/>
    <w:rsid w:val="00104A7E"/>
    <w:rsid w:val="00104C88"/>
    <w:rsid w:val="0010560B"/>
    <w:rsid w:val="00106180"/>
    <w:rsid w:val="00106612"/>
    <w:rsid w:val="00106F3A"/>
    <w:rsid w:val="00111068"/>
    <w:rsid w:val="001110E7"/>
    <w:rsid w:val="001113F1"/>
    <w:rsid w:val="001121D6"/>
    <w:rsid w:val="00113E6E"/>
    <w:rsid w:val="00114D67"/>
    <w:rsid w:val="00114FB4"/>
    <w:rsid w:val="001152C5"/>
    <w:rsid w:val="00115808"/>
    <w:rsid w:val="00116005"/>
    <w:rsid w:val="00116714"/>
    <w:rsid w:val="001173E7"/>
    <w:rsid w:val="00117EA3"/>
    <w:rsid w:val="00120E2D"/>
    <w:rsid w:val="00121722"/>
    <w:rsid w:val="00121D51"/>
    <w:rsid w:val="00122002"/>
    <w:rsid w:val="00122191"/>
    <w:rsid w:val="001221D9"/>
    <w:rsid w:val="00122AC8"/>
    <w:rsid w:val="00122D8F"/>
    <w:rsid w:val="0012369A"/>
    <w:rsid w:val="00123BB4"/>
    <w:rsid w:val="00123DF4"/>
    <w:rsid w:val="00123F7A"/>
    <w:rsid w:val="00123FC9"/>
    <w:rsid w:val="001243A7"/>
    <w:rsid w:val="00125517"/>
    <w:rsid w:val="00126771"/>
    <w:rsid w:val="001268E5"/>
    <w:rsid w:val="00126AD8"/>
    <w:rsid w:val="001300B0"/>
    <w:rsid w:val="00130F03"/>
    <w:rsid w:val="00131614"/>
    <w:rsid w:val="0013164A"/>
    <w:rsid w:val="00131FA5"/>
    <w:rsid w:val="00133A46"/>
    <w:rsid w:val="00133AC8"/>
    <w:rsid w:val="001347DC"/>
    <w:rsid w:val="00134A28"/>
    <w:rsid w:val="001360FE"/>
    <w:rsid w:val="00136AF5"/>
    <w:rsid w:val="00137ACE"/>
    <w:rsid w:val="0014063E"/>
    <w:rsid w:val="001419E9"/>
    <w:rsid w:val="00141BAA"/>
    <w:rsid w:val="001431AE"/>
    <w:rsid w:val="00146128"/>
    <w:rsid w:val="00146824"/>
    <w:rsid w:val="001470CB"/>
    <w:rsid w:val="00147C72"/>
    <w:rsid w:val="001505B8"/>
    <w:rsid w:val="001506CF"/>
    <w:rsid w:val="00151568"/>
    <w:rsid w:val="00151747"/>
    <w:rsid w:val="00151F62"/>
    <w:rsid w:val="00152580"/>
    <w:rsid w:val="001530CC"/>
    <w:rsid w:val="0015449F"/>
    <w:rsid w:val="00154F36"/>
    <w:rsid w:val="001550E7"/>
    <w:rsid w:val="00155EE4"/>
    <w:rsid w:val="00156C80"/>
    <w:rsid w:val="00156D2C"/>
    <w:rsid w:val="00157655"/>
    <w:rsid w:val="00160404"/>
    <w:rsid w:val="00161715"/>
    <w:rsid w:val="001639B8"/>
    <w:rsid w:val="00165A2A"/>
    <w:rsid w:val="00166D78"/>
    <w:rsid w:val="00167CFA"/>
    <w:rsid w:val="00171DC6"/>
    <w:rsid w:val="0017222C"/>
    <w:rsid w:val="0017370E"/>
    <w:rsid w:val="00174704"/>
    <w:rsid w:val="0017628B"/>
    <w:rsid w:val="0017629C"/>
    <w:rsid w:val="001767C1"/>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488"/>
    <w:rsid w:val="001869ED"/>
    <w:rsid w:val="00187339"/>
    <w:rsid w:val="00187F4B"/>
    <w:rsid w:val="00190CF9"/>
    <w:rsid w:val="00192F00"/>
    <w:rsid w:val="00192FC3"/>
    <w:rsid w:val="001940E3"/>
    <w:rsid w:val="0019478B"/>
    <w:rsid w:val="00194E68"/>
    <w:rsid w:val="0019501F"/>
    <w:rsid w:val="001955EB"/>
    <w:rsid w:val="001970A1"/>
    <w:rsid w:val="001A0093"/>
    <w:rsid w:val="001A036F"/>
    <w:rsid w:val="001A1264"/>
    <w:rsid w:val="001A1CD6"/>
    <w:rsid w:val="001A1DE0"/>
    <w:rsid w:val="001A3227"/>
    <w:rsid w:val="001A49AE"/>
    <w:rsid w:val="001A570A"/>
    <w:rsid w:val="001A5871"/>
    <w:rsid w:val="001A61AC"/>
    <w:rsid w:val="001A65BE"/>
    <w:rsid w:val="001A668D"/>
    <w:rsid w:val="001A6D05"/>
    <w:rsid w:val="001A7060"/>
    <w:rsid w:val="001A7F6F"/>
    <w:rsid w:val="001B2BC3"/>
    <w:rsid w:val="001B2DF3"/>
    <w:rsid w:val="001B37BC"/>
    <w:rsid w:val="001B382B"/>
    <w:rsid w:val="001B38EB"/>
    <w:rsid w:val="001B3BA7"/>
    <w:rsid w:val="001B4E8F"/>
    <w:rsid w:val="001B508F"/>
    <w:rsid w:val="001B53B0"/>
    <w:rsid w:val="001B6CB5"/>
    <w:rsid w:val="001C17CF"/>
    <w:rsid w:val="001C21AA"/>
    <w:rsid w:val="001C231A"/>
    <w:rsid w:val="001C2570"/>
    <w:rsid w:val="001C3485"/>
    <w:rsid w:val="001C36EE"/>
    <w:rsid w:val="001C3815"/>
    <w:rsid w:val="001C3833"/>
    <w:rsid w:val="001C43D8"/>
    <w:rsid w:val="001C5290"/>
    <w:rsid w:val="001C5A19"/>
    <w:rsid w:val="001C6093"/>
    <w:rsid w:val="001C6A6C"/>
    <w:rsid w:val="001C73A6"/>
    <w:rsid w:val="001C7F9C"/>
    <w:rsid w:val="001D0C2E"/>
    <w:rsid w:val="001D0F55"/>
    <w:rsid w:val="001D11BC"/>
    <w:rsid w:val="001D2635"/>
    <w:rsid w:val="001D26AD"/>
    <w:rsid w:val="001D3258"/>
    <w:rsid w:val="001D3437"/>
    <w:rsid w:val="001D4741"/>
    <w:rsid w:val="001D4BA9"/>
    <w:rsid w:val="001D5AA5"/>
    <w:rsid w:val="001D709A"/>
    <w:rsid w:val="001E06E9"/>
    <w:rsid w:val="001E092A"/>
    <w:rsid w:val="001E1985"/>
    <w:rsid w:val="001E1B05"/>
    <w:rsid w:val="001E26A3"/>
    <w:rsid w:val="001E283F"/>
    <w:rsid w:val="001E7059"/>
    <w:rsid w:val="001E70F7"/>
    <w:rsid w:val="001E78E7"/>
    <w:rsid w:val="001F08A9"/>
    <w:rsid w:val="001F1672"/>
    <w:rsid w:val="001F1F2B"/>
    <w:rsid w:val="001F256A"/>
    <w:rsid w:val="001F27F2"/>
    <w:rsid w:val="001F2C56"/>
    <w:rsid w:val="001F33A5"/>
    <w:rsid w:val="001F34D0"/>
    <w:rsid w:val="001F3620"/>
    <w:rsid w:val="001F3A15"/>
    <w:rsid w:val="001F5A62"/>
    <w:rsid w:val="001F6821"/>
    <w:rsid w:val="001F6B73"/>
    <w:rsid w:val="001F6E8A"/>
    <w:rsid w:val="001F747C"/>
    <w:rsid w:val="001F78C3"/>
    <w:rsid w:val="00200297"/>
    <w:rsid w:val="0020030D"/>
    <w:rsid w:val="00200C4C"/>
    <w:rsid w:val="00200EAC"/>
    <w:rsid w:val="002019D1"/>
    <w:rsid w:val="002020AE"/>
    <w:rsid w:val="00202B17"/>
    <w:rsid w:val="002033A6"/>
    <w:rsid w:val="002044AD"/>
    <w:rsid w:val="00204606"/>
    <w:rsid w:val="0020524A"/>
    <w:rsid w:val="00206036"/>
    <w:rsid w:val="002062CF"/>
    <w:rsid w:val="0020662F"/>
    <w:rsid w:val="002073B5"/>
    <w:rsid w:val="00207685"/>
    <w:rsid w:val="00207C0F"/>
    <w:rsid w:val="0021079D"/>
    <w:rsid w:val="00211382"/>
    <w:rsid w:val="00211AD2"/>
    <w:rsid w:val="00211D20"/>
    <w:rsid w:val="002121BC"/>
    <w:rsid w:val="00213B9D"/>
    <w:rsid w:val="00215303"/>
    <w:rsid w:val="00215872"/>
    <w:rsid w:val="00217548"/>
    <w:rsid w:val="0021796A"/>
    <w:rsid w:val="00217F3D"/>
    <w:rsid w:val="00221F80"/>
    <w:rsid w:val="00222160"/>
    <w:rsid w:val="002247A8"/>
    <w:rsid w:val="00224EEE"/>
    <w:rsid w:val="0022587F"/>
    <w:rsid w:val="00225992"/>
    <w:rsid w:val="002259B4"/>
    <w:rsid w:val="00225A4B"/>
    <w:rsid w:val="00230071"/>
    <w:rsid w:val="00230380"/>
    <w:rsid w:val="00231E44"/>
    <w:rsid w:val="00231F7F"/>
    <w:rsid w:val="00232FD2"/>
    <w:rsid w:val="00234BDF"/>
    <w:rsid w:val="0023592A"/>
    <w:rsid w:val="00236A0E"/>
    <w:rsid w:val="00240717"/>
    <w:rsid w:val="0024091E"/>
    <w:rsid w:val="002410BF"/>
    <w:rsid w:val="002412DD"/>
    <w:rsid w:val="00241705"/>
    <w:rsid w:val="00241B21"/>
    <w:rsid w:val="00241D9D"/>
    <w:rsid w:val="0024233C"/>
    <w:rsid w:val="00242F85"/>
    <w:rsid w:val="0024515F"/>
    <w:rsid w:val="0024573D"/>
    <w:rsid w:val="0024581A"/>
    <w:rsid w:val="00245DC5"/>
    <w:rsid w:val="00245E9E"/>
    <w:rsid w:val="00246486"/>
    <w:rsid w:val="00246D7F"/>
    <w:rsid w:val="00247F42"/>
    <w:rsid w:val="00250139"/>
    <w:rsid w:val="00250245"/>
    <w:rsid w:val="0025054D"/>
    <w:rsid w:val="0025101D"/>
    <w:rsid w:val="0025112C"/>
    <w:rsid w:val="00252168"/>
    <w:rsid w:val="002528CF"/>
    <w:rsid w:val="00252D43"/>
    <w:rsid w:val="00253ED7"/>
    <w:rsid w:val="002569FE"/>
    <w:rsid w:val="00257729"/>
    <w:rsid w:val="00257DAB"/>
    <w:rsid w:val="0026175A"/>
    <w:rsid w:val="00262DBF"/>
    <w:rsid w:val="00262F91"/>
    <w:rsid w:val="0026359B"/>
    <w:rsid w:val="002638E6"/>
    <w:rsid w:val="00263C75"/>
    <w:rsid w:val="00263E6D"/>
    <w:rsid w:val="002644A6"/>
    <w:rsid w:val="002644B8"/>
    <w:rsid w:val="00264651"/>
    <w:rsid w:val="002654EA"/>
    <w:rsid w:val="002701F4"/>
    <w:rsid w:val="00270C96"/>
    <w:rsid w:val="002716BA"/>
    <w:rsid w:val="00272640"/>
    <w:rsid w:val="00272A24"/>
    <w:rsid w:val="00272C9C"/>
    <w:rsid w:val="00273E6F"/>
    <w:rsid w:val="00274796"/>
    <w:rsid w:val="002760A1"/>
    <w:rsid w:val="00276C67"/>
    <w:rsid w:val="0028003D"/>
    <w:rsid w:val="00280B2A"/>
    <w:rsid w:val="00280BE1"/>
    <w:rsid w:val="00280D47"/>
    <w:rsid w:val="00280D6E"/>
    <w:rsid w:val="00280FB5"/>
    <w:rsid w:val="002815DF"/>
    <w:rsid w:val="00281D96"/>
    <w:rsid w:val="0028247F"/>
    <w:rsid w:val="00282DD9"/>
    <w:rsid w:val="00285D76"/>
    <w:rsid w:val="0028680C"/>
    <w:rsid w:val="00286C37"/>
    <w:rsid w:val="00286CF6"/>
    <w:rsid w:val="002878F0"/>
    <w:rsid w:val="00287B2D"/>
    <w:rsid w:val="002905A7"/>
    <w:rsid w:val="00290848"/>
    <w:rsid w:val="00290A4F"/>
    <w:rsid w:val="002917A0"/>
    <w:rsid w:val="00293257"/>
    <w:rsid w:val="002947F2"/>
    <w:rsid w:val="00296D59"/>
    <w:rsid w:val="00297449"/>
    <w:rsid w:val="002A1047"/>
    <w:rsid w:val="002A202E"/>
    <w:rsid w:val="002A2210"/>
    <w:rsid w:val="002A2935"/>
    <w:rsid w:val="002A30A1"/>
    <w:rsid w:val="002A3976"/>
    <w:rsid w:val="002A3C84"/>
    <w:rsid w:val="002A448F"/>
    <w:rsid w:val="002A45BA"/>
    <w:rsid w:val="002A610A"/>
    <w:rsid w:val="002A727B"/>
    <w:rsid w:val="002A7A0D"/>
    <w:rsid w:val="002A7C2F"/>
    <w:rsid w:val="002A7E22"/>
    <w:rsid w:val="002A7FDA"/>
    <w:rsid w:val="002B0D62"/>
    <w:rsid w:val="002B10B3"/>
    <w:rsid w:val="002B1F96"/>
    <w:rsid w:val="002B265D"/>
    <w:rsid w:val="002B28AB"/>
    <w:rsid w:val="002B3E98"/>
    <w:rsid w:val="002B3F4B"/>
    <w:rsid w:val="002B4812"/>
    <w:rsid w:val="002B4903"/>
    <w:rsid w:val="002B506F"/>
    <w:rsid w:val="002B716F"/>
    <w:rsid w:val="002B77C9"/>
    <w:rsid w:val="002B7E9B"/>
    <w:rsid w:val="002C054B"/>
    <w:rsid w:val="002C2901"/>
    <w:rsid w:val="002C3DD0"/>
    <w:rsid w:val="002C3FFD"/>
    <w:rsid w:val="002C4879"/>
    <w:rsid w:val="002C4A86"/>
    <w:rsid w:val="002C5D5F"/>
    <w:rsid w:val="002C60EB"/>
    <w:rsid w:val="002C6210"/>
    <w:rsid w:val="002C7399"/>
    <w:rsid w:val="002C78DF"/>
    <w:rsid w:val="002C7FB4"/>
    <w:rsid w:val="002D1C5B"/>
    <w:rsid w:val="002D2585"/>
    <w:rsid w:val="002D2A7E"/>
    <w:rsid w:val="002D35A4"/>
    <w:rsid w:val="002D4400"/>
    <w:rsid w:val="002D4B09"/>
    <w:rsid w:val="002D4B81"/>
    <w:rsid w:val="002D5A96"/>
    <w:rsid w:val="002D5E99"/>
    <w:rsid w:val="002D5FC5"/>
    <w:rsid w:val="002D5FCE"/>
    <w:rsid w:val="002D71A1"/>
    <w:rsid w:val="002D77CA"/>
    <w:rsid w:val="002D7EA8"/>
    <w:rsid w:val="002E125F"/>
    <w:rsid w:val="002E264F"/>
    <w:rsid w:val="002E2842"/>
    <w:rsid w:val="002E2CF6"/>
    <w:rsid w:val="002E35B0"/>
    <w:rsid w:val="002E48B5"/>
    <w:rsid w:val="002E491E"/>
    <w:rsid w:val="002E5FB5"/>
    <w:rsid w:val="002E6AC0"/>
    <w:rsid w:val="002E6E34"/>
    <w:rsid w:val="002E6EF3"/>
    <w:rsid w:val="002E7AA2"/>
    <w:rsid w:val="002F11BC"/>
    <w:rsid w:val="002F14B7"/>
    <w:rsid w:val="002F2780"/>
    <w:rsid w:val="002F37E3"/>
    <w:rsid w:val="002F3C79"/>
    <w:rsid w:val="002F3FF1"/>
    <w:rsid w:val="002F4127"/>
    <w:rsid w:val="002F4779"/>
    <w:rsid w:val="002F53FB"/>
    <w:rsid w:val="002F5DB5"/>
    <w:rsid w:val="002F6241"/>
    <w:rsid w:val="002F6510"/>
    <w:rsid w:val="002F6C47"/>
    <w:rsid w:val="002F6FC9"/>
    <w:rsid w:val="002F710F"/>
    <w:rsid w:val="00301FCC"/>
    <w:rsid w:val="003027ED"/>
    <w:rsid w:val="003038A7"/>
    <w:rsid w:val="00303BFD"/>
    <w:rsid w:val="00303DE4"/>
    <w:rsid w:val="00304012"/>
    <w:rsid w:val="003044E2"/>
    <w:rsid w:val="0030479A"/>
    <w:rsid w:val="00304944"/>
    <w:rsid w:val="00304D32"/>
    <w:rsid w:val="00305BBB"/>
    <w:rsid w:val="00305F29"/>
    <w:rsid w:val="0030655C"/>
    <w:rsid w:val="00307F93"/>
    <w:rsid w:val="00311353"/>
    <w:rsid w:val="00311A37"/>
    <w:rsid w:val="00311E31"/>
    <w:rsid w:val="00311F31"/>
    <w:rsid w:val="00312572"/>
    <w:rsid w:val="00312DF6"/>
    <w:rsid w:val="00314053"/>
    <w:rsid w:val="00314952"/>
    <w:rsid w:val="00314E9F"/>
    <w:rsid w:val="00314F5C"/>
    <w:rsid w:val="00315573"/>
    <w:rsid w:val="00315D7A"/>
    <w:rsid w:val="00315E39"/>
    <w:rsid w:val="0031607A"/>
    <w:rsid w:val="00317C57"/>
    <w:rsid w:val="003214FD"/>
    <w:rsid w:val="00321EDD"/>
    <w:rsid w:val="00323440"/>
    <w:rsid w:val="003234C1"/>
    <w:rsid w:val="00323CF3"/>
    <w:rsid w:val="00324FCE"/>
    <w:rsid w:val="00325770"/>
    <w:rsid w:val="003263BA"/>
    <w:rsid w:val="00327452"/>
    <w:rsid w:val="00327817"/>
    <w:rsid w:val="00327EBA"/>
    <w:rsid w:val="00331660"/>
    <w:rsid w:val="0033268C"/>
    <w:rsid w:val="00332E00"/>
    <w:rsid w:val="00333287"/>
    <w:rsid w:val="00334457"/>
    <w:rsid w:val="00334667"/>
    <w:rsid w:val="003347A7"/>
    <w:rsid w:val="00334902"/>
    <w:rsid w:val="00336009"/>
    <w:rsid w:val="0033704F"/>
    <w:rsid w:val="00337781"/>
    <w:rsid w:val="0034000B"/>
    <w:rsid w:val="00341105"/>
    <w:rsid w:val="0034130D"/>
    <w:rsid w:val="00341809"/>
    <w:rsid w:val="00341D90"/>
    <w:rsid w:val="00341E7C"/>
    <w:rsid w:val="003428AD"/>
    <w:rsid w:val="00343994"/>
    <w:rsid w:val="0034512E"/>
    <w:rsid w:val="0034584F"/>
    <w:rsid w:val="0034662B"/>
    <w:rsid w:val="0034733E"/>
    <w:rsid w:val="00347C3E"/>
    <w:rsid w:val="00347FD2"/>
    <w:rsid w:val="00350CC5"/>
    <w:rsid w:val="00351F6D"/>
    <w:rsid w:val="00351F7B"/>
    <w:rsid w:val="00352F78"/>
    <w:rsid w:val="00353AAB"/>
    <w:rsid w:val="00353BB1"/>
    <w:rsid w:val="00353C13"/>
    <w:rsid w:val="00354371"/>
    <w:rsid w:val="0035553E"/>
    <w:rsid w:val="00355924"/>
    <w:rsid w:val="00355A5B"/>
    <w:rsid w:val="00356442"/>
    <w:rsid w:val="00356455"/>
    <w:rsid w:val="003564DA"/>
    <w:rsid w:val="00356ADD"/>
    <w:rsid w:val="00356F18"/>
    <w:rsid w:val="00361AC5"/>
    <w:rsid w:val="0036223D"/>
    <w:rsid w:val="003623E6"/>
    <w:rsid w:val="0036261C"/>
    <w:rsid w:val="0036298A"/>
    <w:rsid w:val="003633B0"/>
    <w:rsid w:val="00363A05"/>
    <w:rsid w:val="0036518C"/>
    <w:rsid w:val="00365672"/>
    <w:rsid w:val="00365A2E"/>
    <w:rsid w:val="00365A76"/>
    <w:rsid w:val="00365EE7"/>
    <w:rsid w:val="00366782"/>
    <w:rsid w:val="0036797A"/>
    <w:rsid w:val="003702C6"/>
    <w:rsid w:val="00371404"/>
    <w:rsid w:val="003734A6"/>
    <w:rsid w:val="003747B4"/>
    <w:rsid w:val="00375275"/>
    <w:rsid w:val="00376792"/>
    <w:rsid w:val="00377588"/>
    <w:rsid w:val="00380595"/>
    <w:rsid w:val="00380C0A"/>
    <w:rsid w:val="00380D78"/>
    <w:rsid w:val="00382E1A"/>
    <w:rsid w:val="00383CF4"/>
    <w:rsid w:val="00383DD5"/>
    <w:rsid w:val="00384AC1"/>
    <w:rsid w:val="00386199"/>
    <w:rsid w:val="003864A2"/>
    <w:rsid w:val="00387667"/>
    <w:rsid w:val="003909B6"/>
    <w:rsid w:val="00391C7F"/>
    <w:rsid w:val="0039242F"/>
    <w:rsid w:val="00392F1C"/>
    <w:rsid w:val="0039754F"/>
    <w:rsid w:val="00397997"/>
    <w:rsid w:val="00397A8E"/>
    <w:rsid w:val="003A04B5"/>
    <w:rsid w:val="003A14EC"/>
    <w:rsid w:val="003A1A2D"/>
    <w:rsid w:val="003A30EE"/>
    <w:rsid w:val="003A3C80"/>
    <w:rsid w:val="003A3DFA"/>
    <w:rsid w:val="003A4AFF"/>
    <w:rsid w:val="003B023A"/>
    <w:rsid w:val="003B1FE7"/>
    <w:rsid w:val="003B235C"/>
    <w:rsid w:val="003B269B"/>
    <w:rsid w:val="003B2819"/>
    <w:rsid w:val="003B35CB"/>
    <w:rsid w:val="003B491C"/>
    <w:rsid w:val="003B7A65"/>
    <w:rsid w:val="003B7DA3"/>
    <w:rsid w:val="003C1798"/>
    <w:rsid w:val="003C1812"/>
    <w:rsid w:val="003C1872"/>
    <w:rsid w:val="003C2E31"/>
    <w:rsid w:val="003C37C4"/>
    <w:rsid w:val="003C41A8"/>
    <w:rsid w:val="003C45DE"/>
    <w:rsid w:val="003C46B2"/>
    <w:rsid w:val="003C48AE"/>
    <w:rsid w:val="003C502F"/>
    <w:rsid w:val="003C57F1"/>
    <w:rsid w:val="003D0094"/>
    <w:rsid w:val="003D0511"/>
    <w:rsid w:val="003D286D"/>
    <w:rsid w:val="003D2C87"/>
    <w:rsid w:val="003D2ECB"/>
    <w:rsid w:val="003D4328"/>
    <w:rsid w:val="003D4B44"/>
    <w:rsid w:val="003D503A"/>
    <w:rsid w:val="003D59BA"/>
    <w:rsid w:val="003D6AEE"/>
    <w:rsid w:val="003D6E10"/>
    <w:rsid w:val="003E0BA3"/>
    <w:rsid w:val="003E1638"/>
    <w:rsid w:val="003E1734"/>
    <w:rsid w:val="003E1884"/>
    <w:rsid w:val="003E1E19"/>
    <w:rsid w:val="003E226C"/>
    <w:rsid w:val="003E2351"/>
    <w:rsid w:val="003E4265"/>
    <w:rsid w:val="003E547D"/>
    <w:rsid w:val="003E5F08"/>
    <w:rsid w:val="003E6121"/>
    <w:rsid w:val="003E66C7"/>
    <w:rsid w:val="003E6B31"/>
    <w:rsid w:val="003E75AE"/>
    <w:rsid w:val="003E7737"/>
    <w:rsid w:val="003F17DC"/>
    <w:rsid w:val="003F1C8E"/>
    <w:rsid w:val="003F2232"/>
    <w:rsid w:val="003F309B"/>
    <w:rsid w:val="003F4876"/>
    <w:rsid w:val="003F651F"/>
    <w:rsid w:val="003F6640"/>
    <w:rsid w:val="003F783C"/>
    <w:rsid w:val="00401B46"/>
    <w:rsid w:val="00401BD1"/>
    <w:rsid w:val="00402050"/>
    <w:rsid w:val="00402082"/>
    <w:rsid w:val="00403576"/>
    <w:rsid w:val="00403FA7"/>
    <w:rsid w:val="00404113"/>
    <w:rsid w:val="004054A4"/>
    <w:rsid w:val="00405C70"/>
    <w:rsid w:val="00406253"/>
    <w:rsid w:val="00406B49"/>
    <w:rsid w:val="00406F53"/>
    <w:rsid w:val="00407052"/>
    <w:rsid w:val="00407977"/>
    <w:rsid w:val="00407FD3"/>
    <w:rsid w:val="0041118F"/>
    <w:rsid w:val="004116D0"/>
    <w:rsid w:val="00412751"/>
    <w:rsid w:val="00412799"/>
    <w:rsid w:val="00412A5F"/>
    <w:rsid w:val="004131FC"/>
    <w:rsid w:val="00414A12"/>
    <w:rsid w:val="004157AC"/>
    <w:rsid w:val="00415B9A"/>
    <w:rsid w:val="00415EAE"/>
    <w:rsid w:val="004171B5"/>
    <w:rsid w:val="00417A2D"/>
    <w:rsid w:val="00417BB3"/>
    <w:rsid w:val="00420C05"/>
    <w:rsid w:val="0042337D"/>
    <w:rsid w:val="00424475"/>
    <w:rsid w:val="00424F02"/>
    <w:rsid w:val="00431862"/>
    <w:rsid w:val="004322A8"/>
    <w:rsid w:val="00435499"/>
    <w:rsid w:val="0044013F"/>
    <w:rsid w:val="004403B1"/>
    <w:rsid w:val="00441BF7"/>
    <w:rsid w:val="00441C2C"/>
    <w:rsid w:val="00441D6D"/>
    <w:rsid w:val="00441E84"/>
    <w:rsid w:val="00443A4E"/>
    <w:rsid w:val="004454BD"/>
    <w:rsid w:val="00445E68"/>
    <w:rsid w:val="004464DA"/>
    <w:rsid w:val="004474D2"/>
    <w:rsid w:val="00450818"/>
    <w:rsid w:val="00450ADD"/>
    <w:rsid w:val="00453A22"/>
    <w:rsid w:val="00453D50"/>
    <w:rsid w:val="00453ECB"/>
    <w:rsid w:val="004540A2"/>
    <w:rsid w:val="004540E7"/>
    <w:rsid w:val="004544F3"/>
    <w:rsid w:val="00454500"/>
    <w:rsid w:val="004551FA"/>
    <w:rsid w:val="00455491"/>
    <w:rsid w:val="00456937"/>
    <w:rsid w:val="00457406"/>
    <w:rsid w:val="00460D43"/>
    <w:rsid w:val="00461382"/>
    <w:rsid w:val="0046165B"/>
    <w:rsid w:val="004648E7"/>
    <w:rsid w:val="00464C5D"/>
    <w:rsid w:val="00464D20"/>
    <w:rsid w:val="004656F1"/>
    <w:rsid w:val="00465D8B"/>
    <w:rsid w:val="004666A0"/>
    <w:rsid w:val="00466C40"/>
    <w:rsid w:val="00467965"/>
    <w:rsid w:val="00470757"/>
    <w:rsid w:val="004710A3"/>
    <w:rsid w:val="00471563"/>
    <w:rsid w:val="004719A0"/>
    <w:rsid w:val="00471C65"/>
    <w:rsid w:val="00474D86"/>
    <w:rsid w:val="004752D1"/>
    <w:rsid w:val="004753FE"/>
    <w:rsid w:val="0047569D"/>
    <w:rsid w:val="004762FB"/>
    <w:rsid w:val="00476C26"/>
    <w:rsid w:val="00477474"/>
    <w:rsid w:val="00477798"/>
    <w:rsid w:val="004800FC"/>
    <w:rsid w:val="00480543"/>
    <w:rsid w:val="00483490"/>
    <w:rsid w:val="004837AE"/>
    <w:rsid w:val="00483929"/>
    <w:rsid w:val="00485013"/>
    <w:rsid w:val="0048589C"/>
    <w:rsid w:val="00485D65"/>
    <w:rsid w:val="00486F2A"/>
    <w:rsid w:val="00487F5D"/>
    <w:rsid w:val="00490560"/>
    <w:rsid w:val="004910D2"/>
    <w:rsid w:val="00491B2A"/>
    <w:rsid w:val="00492372"/>
    <w:rsid w:val="00492D7B"/>
    <w:rsid w:val="00494ADD"/>
    <w:rsid w:val="00494EAF"/>
    <w:rsid w:val="00495A47"/>
    <w:rsid w:val="00495B87"/>
    <w:rsid w:val="004965B0"/>
    <w:rsid w:val="00496A26"/>
    <w:rsid w:val="00497943"/>
    <w:rsid w:val="00497D24"/>
    <w:rsid w:val="004A18D0"/>
    <w:rsid w:val="004A3385"/>
    <w:rsid w:val="004A469F"/>
    <w:rsid w:val="004A5365"/>
    <w:rsid w:val="004A5BB3"/>
    <w:rsid w:val="004A688E"/>
    <w:rsid w:val="004A72BF"/>
    <w:rsid w:val="004B19AB"/>
    <w:rsid w:val="004B1A8C"/>
    <w:rsid w:val="004B1CC4"/>
    <w:rsid w:val="004B24E3"/>
    <w:rsid w:val="004B31D3"/>
    <w:rsid w:val="004B399F"/>
    <w:rsid w:val="004B47E3"/>
    <w:rsid w:val="004B4A9D"/>
    <w:rsid w:val="004B59C1"/>
    <w:rsid w:val="004B606D"/>
    <w:rsid w:val="004B6BD6"/>
    <w:rsid w:val="004B777E"/>
    <w:rsid w:val="004C052B"/>
    <w:rsid w:val="004C2ABD"/>
    <w:rsid w:val="004C302F"/>
    <w:rsid w:val="004C379C"/>
    <w:rsid w:val="004C39C6"/>
    <w:rsid w:val="004C4CBF"/>
    <w:rsid w:val="004C5F36"/>
    <w:rsid w:val="004C6002"/>
    <w:rsid w:val="004C7022"/>
    <w:rsid w:val="004C7112"/>
    <w:rsid w:val="004D02BD"/>
    <w:rsid w:val="004D04BA"/>
    <w:rsid w:val="004D0FE1"/>
    <w:rsid w:val="004D10F7"/>
    <w:rsid w:val="004D2D4C"/>
    <w:rsid w:val="004D2F40"/>
    <w:rsid w:val="004D395B"/>
    <w:rsid w:val="004D5727"/>
    <w:rsid w:val="004D5865"/>
    <w:rsid w:val="004D620B"/>
    <w:rsid w:val="004D6C4F"/>
    <w:rsid w:val="004D6CDE"/>
    <w:rsid w:val="004D6CE4"/>
    <w:rsid w:val="004D7B4C"/>
    <w:rsid w:val="004E1661"/>
    <w:rsid w:val="004E1BBB"/>
    <w:rsid w:val="004E2358"/>
    <w:rsid w:val="004E2746"/>
    <w:rsid w:val="004E4863"/>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31A4"/>
    <w:rsid w:val="004F31A9"/>
    <w:rsid w:val="004F3664"/>
    <w:rsid w:val="004F38C3"/>
    <w:rsid w:val="004F4490"/>
    <w:rsid w:val="004F4DBC"/>
    <w:rsid w:val="004F51FB"/>
    <w:rsid w:val="004F5748"/>
    <w:rsid w:val="00500885"/>
    <w:rsid w:val="0050157D"/>
    <w:rsid w:val="00501937"/>
    <w:rsid w:val="005035B1"/>
    <w:rsid w:val="005040FE"/>
    <w:rsid w:val="00504E1B"/>
    <w:rsid w:val="005058FF"/>
    <w:rsid w:val="005067D7"/>
    <w:rsid w:val="0050787E"/>
    <w:rsid w:val="0050792A"/>
    <w:rsid w:val="00510231"/>
    <w:rsid w:val="00510795"/>
    <w:rsid w:val="00510A1D"/>
    <w:rsid w:val="00510C77"/>
    <w:rsid w:val="00510CA6"/>
    <w:rsid w:val="00510EB0"/>
    <w:rsid w:val="005119E5"/>
    <w:rsid w:val="0051236D"/>
    <w:rsid w:val="005129B7"/>
    <w:rsid w:val="00512A5A"/>
    <w:rsid w:val="00513A8A"/>
    <w:rsid w:val="00514F0F"/>
    <w:rsid w:val="00515112"/>
    <w:rsid w:val="005164BC"/>
    <w:rsid w:val="005165A6"/>
    <w:rsid w:val="005174DA"/>
    <w:rsid w:val="00517E1E"/>
    <w:rsid w:val="00520241"/>
    <w:rsid w:val="00520615"/>
    <w:rsid w:val="005214EF"/>
    <w:rsid w:val="00521F34"/>
    <w:rsid w:val="00522779"/>
    <w:rsid w:val="00522F1A"/>
    <w:rsid w:val="0052305B"/>
    <w:rsid w:val="00523314"/>
    <w:rsid w:val="00523BAF"/>
    <w:rsid w:val="005254DC"/>
    <w:rsid w:val="005262C0"/>
    <w:rsid w:val="00526D85"/>
    <w:rsid w:val="005273AC"/>
    <w:rsid w:val="00530AF7"/>
    <w:rsid w:val="00531CAB"/>
    <w:rsid w:val="005322F5"/>
    <w:rsid w:val="0053438A"/>
    <w:rsid w:val="005346D5"/>
    <w:rsid w:val="00535F8C"/>
    <w:rsid w:val="005365F0"/>
    <w:rsid w:val="00537032"/>
    <w:rsid w:val="005375C5"/>
    <w:rsid w:val="00537740"/>
    <w:rsid w:val="0054020C"/>
    <w:rsid w:val="005421E2"/>
    <w:rsid w:val="0054242F"/>
    <w:rsid w:val="00544005"/>
    <w:rsid w:val="00544B4F"/>
    <w:rsid w:val="00545CEF"/>
    <w:rsid w:val="00547934"/>
    <w:rsid w:val="00547CB7"/>
    <w:rsid w:val="00550785"/>
    <w:rsid w:val="00550B14"/>
    <w:rsid w:val="00551113"/>
    <w:rsid w:val="00552029"/>
    <w:rsid w:val="0055373A"/>
    <w:rsid w:val="00553CB3"/>
    <w:rsid w:val="00553FFA"/>
    <w:rsid w:val="0055528A"/>
    <w:rsid w:val="00555597"/>
    <w:rsid w:val="00555FBC"/>
    <w:rsid w:val="00556001"/>
    <w:rsid w:val="0055642C"/>
    <w:rsid w:val="00556976"/>
    <w:rsid w:val="00556F56"/>
    <w:rsid w:val="0055753B"/>
    <w:rsid w:val="00557883"/>
    <w:rsid w:val="00557F67"/>
    <w:rsid w:val="0056103A"/>
    <w:rsid w:val="005618D0"/>
    <w:rsid w:val="00562931"/>
    <w:rsid w:val="0056327D"/>
    <w:rsid w:val="00564467"/>
    <w:rsid w:val="00564545"/>
    <w:rsid w:val="00564D89"/>
    <w:rsid w:val="00564F60"/>
    <w:rsid w:val="00565B05"/>
    <w:rsid w:val="005662B3"/>
    <w:rsid w:val="00566812"/>
    <w:rsid w:val="00566864"/>
    <w:rsid w:val="00567589"/>
    <w:rsid w:val="00567C2E"/>
    <w:rsid w:val="00570936"/>
    <w:rsid w:val="0057096B"/>
    <w:rsid w:val="00570BD4"/>
    <w:rsid w:val="005715A1"/>
    <w:rsid w:val="00571CB6"/>
    <w:rsid w:val="005727F0"/>
    <w:rsid w:val="00575C4F"/>
    <w:rsid w:val="00575D46"/>
    <w:rsid w:val="005772F2"/>
    <w:rsid w:val="00581018"/>
    <w:rsid w:val="0058121D"/>
    <w:rsid w:val="00582009"/>
    <w:rsid w:val="00585001"/>
    <w:rsid w:val="00585189"/>
    <w:rsid w:val="00591DBF"/>
    <w:rsid w:val="00594A6F"/>
    <w:rsid w:val="00595ABC"/>
    <w:rsid w:val="00597E27"/>
    <w:rsid w:val="00597EB9"/>
    <w:rsid w:val="005A074B"/>
    <w:rsid w:val="005A10DB"/>
    <w:rsid w:val="005A34A9"/>
    <w:rsid w:val="005A3EA1"/>
    <w:rsid w:val="005A4975"/>
    <w:rsid w:val="005A5937"/>
    <w:rsid w:val="005A5986"/>
    <w:rsid w:val="005A5A4B"/>
    <w:rsid w:val="005A663E"/>
    <w:rsid w:val="005A7802"/>
    <w:rsid w:val="005B078B"/>
    <w:rsid w:val="005B1B68"/>
    <w:rsid w:val="005B1EC0"/>
    <w:rsid w:val="005B20E7"/>
    <w:rsid w:val="005B257E"/>
    <w:rsid w:val="005B2636"/>
    <w:rsid w:val="005B2CCC"/>
    <w:rsid w:val="005B2EAD"/>
    <w:rsid w:val="005B5833"/>
    <w:rsid w:val="005B5F34"/>
    <w:rsid w:val="005B5FFD"/>
    <w:rsid w:val="005B65FE"/>
    <w:rsid w:val="005C0966"/>
    <w:rsid w:val="005C09F2"/>
    <w:rsid w:val="005C174C"/>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888"/>
    <w:rsid w:val="005C7E8E"/>
    <w:rsid w:val="005D0B1A"/>
    <w:rsid w:val="005D0B67"/>
    <w:rsid w:val="005D2467"/>
    <w:rsid w:val="005D3160"/>
    <w:rsid w:val="005D53B8"/>
    <w:rsid w:val="005D6167"/>
    <w:rsid w:val="005D6874"/>
    <w:rsid w:val="005D6DB1"/>
    <w:rsid w:val="005E042B"/>
    <w:rsid w:val="005E05B8"/>
    <w:rsid w:val="005E07BD"/>
    <w:rsid w:val="005E44EA"/>
    <w:rsid w:val="005E4D27"/>
    <w:rsid w:val="005E5139"/>
    <w:rsid w:val="005E5A87"/>
    <w:rsid w:val="005E68C4"/>
    <w:rsid w:val="005E6EFF"/>
    <w:rsid w:val="005E6FC9"/>
    <w:rsid w:val="005E71D8"/>
    <w:rsid w:val="005F0539"/>
    <w:rsid w:val="005F104B"/>
    <w:rsid w:val="005F1816"/>
    <w:rsid w:val="005F20FA"/>
    <w:rsid w:val="005F2EBC"/>
    <w:rsid w:val="005F3D0A"/>
    <w:rsid w:val="005F4C4C"/>
    <w:rsid w:val="005F5347"/>
    <w:rsid w:val="005F6416"/>
    <w:rsid w:val="005F7655"/>
    <w:rsid w:val="006003CE"/>
    <w:rsid w:val="00601402"/>
    <w:rsid w:val="006032ED"/>
    <w:rsid w:val="00603CB7"/>
    <w:rsid w:val="00603F30"/>
    <w:rsid w:val="006049AB"/>
    <w:rsid w:val="00605734"/>
    <w:rsid w:val="00605B3C"/>
    <w:rsid w:val="006067FC"/>
    <w:rsid w:val="00607887"/>
    <w:rsid w:val="00610DBD"/>
    <w:rsid w:val="00610FF5"/>
    <w:rsid w:val="00611E7C"/>
    <w:rsid w:val="00613032"/>
    <w:rsid w:val="0061369B"/>
    <w:rsid w:val="00614585"/>
    <w:rsid w:val="00615440"/>
    <w:rsid w:val="006154FF"/>
    <w:rsid w:val="006159B5"/>
    <w:rsid w:val="00616345"/>
    <w:rsid w:val="00616D4C"/>
    <w:rsid w:val="00616D55"/>
    <w:rsid w:val="006171A0"/>
    <w:rsid w:val="006215F0"/>
    <w:rsid w:val="00621645"/>
    <w:rsid w:val="00622578"/>
    <w:rsid w:val="0062349D"/>
    <w:rsid w:val="00623547"/>
    <w:rsid w:val="0062437D"/>
    <w:rsid w:val="0062487C"/>
    <w:rsid w:val="00624893"/>
    <w:rsid w:val="00625502"/>
    <w:rsid w:val="006259CC"/>
    <w:rsid w:val="00627891"/>
    <w:rsid w:val="00627AF6"/>
    <w:rsid w:val="00630852"/>
    <w:rsid w:val="0063271E"/>
    <w:rsid w:val="006342AE"/>
    <w:rsid w:val="006353F5"/>
    <w:rsid w:val="00635639"/>
    <w:rsid w:val="00635CFA"/>
    <w:rsid w:val="006363EE"/>
    <w:rsid w:val="006369FA"/>
    <w:rsid w:val="00637C0C"/>
    <w:rsid w:val="00640AB3"/>
    <w:rsid w:val="006416F3"/>
    <w:rsid w:val="00643F81"/>
    <w:rsid w:val="0064439A"/>
    <w:rsid w:val="0064451A"/>
    <w:rsid w:val="00645860"/>
    <w:rsid w:val="006458BB"/>
    <w:rsid w:val="00646B08"/>
    <w:rsid w:val="00651436"/>
    <w:rsid w:val="00651DEE"/>
    <w:rsid w:val="00652116"/>
    <w:rsid w:val="0065415F"/>
    <w:rsid w:val="00657D0F"/>
    <w:rsid w:val="00657FD2"/>
    <w:rsid w:val="006618B6"/>
    <w:rsid w:val="00661AA0"/>
    <w:rsid w:val="00662037"/>
    <w:rsid w:val="006638BB"/>
    <w:rsid w:val="00664214"/>
    <w:rsid w:val="00664565"/>
    <w:rsid w:val="00665B01"/>
    <w:rsid w:val="0066735C"/>
    <w:rsid w:val="0067068D"/>
    <w:rsid w:val="00672A29"/>
    <w:rsid w:val="00673C2D"/>
    <w:rsid w:val="00673D6F"/>
    <w:rsid w:val="00674772"/>
    <w:rsid w:val="006749BA"/>
    <w:rsid w:val="00676D12"/>
    <w:rsid w:val="00677705"/>
    <w:rsid w:val="00677DCE"/>
    <w:rsid w:val="00680382"/>
    <w:rsid w:val="00680AC7"/>
    <w:rsid w:val="00681B60"/>
    <w:rsid w:val="00682354"/>
    <w:rsid w:val="006825F4"/>
    <w:rsid w:val="006828CD"/>
    <w:rsid w:val="00682BF7"/>
    <w:rsid w:val="006830E1"/>
    <w:rsid w:val="00683C9A"/>
    <w:rsid w:val="00684354"/>
    <w:rsid w:val="00684466"/>
    <w:rsid w:val="00685B41"/>
    <w:rsid w:val="00685FF3"/>
    <w:rsid w:val="00686632"/>
    <w:rsid w:val="006868B2"/>
    <w:rsid w:val="00687503"/>
    <w:rsid w:val="00687BCE"/>
    <w:rsid w:val="006902C5"/>
    <w:rsid w:val="00690467"/>
    <w:rsid w:val="00690F9F"/>
    <w:rsid w:val="0069298C"/>
    <w:rsid w:val="006933ED"/>
    <w:rsid w:val="00693AD8"/>
    <w:rsid w:val="0069404C"/>
    <w:rsid w:val="006944B4"/>
    <w:rsid w:val="006947E9"/>
    <w:rsid w:val="006949EE"/>
    <w:rsid w:val="00694B24"/>
    <w:rsid w:val="00694CF0"/>
    <w:rsid w:val="00694D89"/>
    <w:rsid w:val="006966BA"/>
    <w:rsid w:val="00696CC5"/>
    <w:rsid w:val="00696E65"/>
    <w:rsid w:val="00697D6F"/>
    <w:rsid w:val="00697F88"/>
    <w:rsid w:val="006A017A"/>
    <w:rsid w:val="006A0C8B"/>
    <w:rsid w:val="006A0F1B"/>
    <w:rsid w:val="006A1A12"/>
    <w:rsid w:val="006A2927"/>
    <w:rsid w:val="006A2D22"/>
    <w:rsid w:val="006A44C2"/>
    <w:rsid w:val="006A548D"/>
    <w:rsid w:val="006A683A"/>
    <w:rsid w:val="006A6B26"/>
    <w:rsid w:val="006A7025"/>
    <w:rsid w:val="006A7292"/>
    <w:rsid w:val="006A7F7C"/>
    <w:rsid w:val="006B01AA"/>
    <w:rsid w:val="006B240F"/>
    <w:rsid w:val="006B3947"/>
    <w:rsid w:val="006B4948"/>
    <w:rsid w:val="006B4A55"/>
    <w:rsid w:val="006B5502"/>
    <w:rsid w:val="006B571A"/>
    <w:rsid w:val="006B57BF"/>
    <w:rsid w:val="006B686A"/>
    <w:rsid w:val="006B710B"/>
    <w:rsid w:val="006C2065"/>
    <w:rsid w:val="006C2D05"/>
    <w:rsid w:val="006C3235"/>
    <w:rsid w:val="006C3709"/>
    <w:rsid w:val="006C38B0"/>
    <w:rsid w:val="006C4638"/>
    <w:rsid w:val="006C4A24"/>
    <w:rsid w:val="006C68E7"/>
    <w:rsid w:val="006C7465"/>
    <w:rsid w:val="006D01D2"/>
    <w:rsid w:val="006D067B"/>
    <w:rsid w:val="006D16C8"/>
    <w:rsid w:val="006D1783"/>
    <w:rsid w:val="006D28CB"/>
    <w:rsid w:val="006D3477"/>
    <w:rsid w:val="006D366B"/>
    <w:rsid w:val="006D3A09"/>
    <w:rsid w:val="006D3FD9"/>
    <w:rsid w:val="006D49D4"/>
    <w:rsid w:val="006D61E0"/>
    <w:rsid w:val="006D75C9"/>
    <w:rsid w:val="006D7DF9"/>
    <w:rsid w:val="006E0E92"/>
    <w:rsid w:val="006E22A0"/>
    <w:rsid w:val="006E346A"/>
    <w:rsid w:val="006E4149"/>
    <w:rsid w:val="006E4450"/>
    <w:rsid w:val="006E5566"/>
    <w:rsid w:val="006E56C5"/>
    <w:rsid w:val="006E5AF4"/>
    <w:rsid w:val="006E770D"/>
    <w:rsid w:val="006E7D9D"/>
    <w:rsid w:val="006F00AD"/>
    <w:rsid w:val="006F1588"/>
    <w:rsid w:val="006F15B5"/>
    <w:rsid w:val="006F21F4"/>
    <w:rsid w:val="006F24EF"/>
    <w:rsid w:val="006F2CD9"/>
    <w:rsid w:val="006F2F18"/>
    <w:rsid w:val="006F3CE5"/>
    <w:rsid w:val="006F57D3"/>
    <w:rsid w:val="006F7888"/>
    <w:rsid w:val="006F7EA0"/>
    <w:rsid w:val="00700441"/>
    <w:rsid w:val="0070068C"/>
    <w:rsid w:val="0070078C"/>
    <w:rsid w:val="00700DCB"/>
    <w:rsid w:val="00701D5B"/>
    <w:rsid w:val="00703B66"/>
    <w:rsid w:val="00704172"/>
    <w:rsid w:val="0070485F"/>
    <w:rsid w:val="00704C72"/>
    <w:rsid w:val="007056A0"/>
    <w:rsid w:val="007058C5"/>
    <w:rsid w:val="00705BC9"/>
    <w:rsid w:val="0070628D"/>
    <w:rsid w:val="007071F8"/>
    <w:rsid w:val="00707BAF"/>
    <w:rsid w:val="00710475"/>
    <w:rsid w:val="00710620"/>
    <w:rsid w:val="00712EC4"/>
    <w:rsid w:val="0071313D"/>
    <w:rsid w:val="0071347C"/>
    <w:rsid w:val="00713601"/>
    <w:rsid w:val="00713814"/>
    <w:rsid w:val="00714357"/>
    <w:rsid w:val="00714D6B"/>
    <w:rsid w:val="007159FD"/>
    <w:rsid w:val="00715BD7"/>
    <w:rsid w:val="00716F83"/>
    <w:rsid w:val="007176A7"/>
    <w:rsid w:val="00717B48"/>
    <w:rsid w:val="00717D55"/>
    <w:rsid w:val="00720251"/>
    <w:rsid w:val="00722AEE"/>
    <w:rsid w:val="00722DDC"/>
    <w:rsid w:val="00722F4A"/>
    <w:rsid w:val="007237BD"/>
    <w:rsid w:val="007241D5"/>
    <w:rsid w:val="007245E6"/>
    <w:rsid w:val="00727EBB"/>
    <w:rsid w:val="00730AF7"/>
    <w:rsid w:val="00731DBD"/>
    <w:rsid w:val="00732641"/>
    <w:rsid w:val="00732B26"/>
    <w:rsid w:val="00732B66"/>
    <w:rsid w:val="0073342B"/>
    <w:rsid w:val="00733642"/>
    <w:rsid w:val="007364F1"/>
    <w:rsid w:val="007401A2"/>
    <w:rsid w:val="007410B7"/>
    <w:rsid w:val="00741120"/>
    <w:rsid w:val="00741C33"/>
    <w:rsid w:val="0074205C"/>
    <w:rsid w:val="007424A2"/>
    <w:rsid w:val="007428DD"/>
    <w:rsid w:val="00743980"/>
    <w:rsid w:val="007450FD"/>
    <w:rsid w:val="00745AE8"/>
    <w:rsid w:val="0074639F"/>
    <w:rsid w:val="00746441"/>
    <w:rsid w:val="00747800"/>
    <w:rsid w:val="007503E9"/>
    <w:rsid w:val="007503F8"/>
    <w:rsid w:val="007509B8"/>
    <w:rsid w:val="007513E1"/>
    <w:rsid w:val="00751E20"/>
    <w:rsid w:val="00752627"/>
    <w:rsid w:val="0075370A"/>
    <w:rsid w:val="007542F7"/>
    <w:rsid w:val="00754DE2"/>
    <w:rsid w:val="00755136"/>
    <w:rsid w:val="007560C8"/>
    <w:rsid w:val="00756689"/>
    <w:rsid w:val="007568BD"/>
    <w:rsid w:val="007573D8"/>
    <w:rsid w:val="007574E7"/>
    <w:rsid w:val="00757E0A"/>
    <w:rsid w:val="00760EEB"/>
    <w:rsid w:val="007615E3"/>
    <w:rsid w:val="00761830"/>
    <w:rsid w:val="00761F83"/>
    <w:rsid w:val="00762D99"/>
    <w:rsid w:val="00764094"/>
    <w:rsid w:val="00764164"/>
    <w:rsid w:val="0076443B"/>
    <w:rsid w:val="00766389"/>
    <w:rsid w:val="007679F8"/>
    <w:rsid w:val="00770693"/>
    <w:rsid w:val="007714CB"/>
    <w:rsid w:val="00771818"/>
    <w:rsid w:val="0077261B"/>
    <w:rsid w:val="00772702"/>
    <w:rsid w:val="007728EF"/>
    <w:rsid w:val="00772A59"/>
    <w:rsid w:val="00772BE5"/>
    <w:rsid w:val="00772FA2"/>
    <w:rsid w:val="007731FE"/>
    <w:rsid w:val="00773D84"/>
    <w:rsid w:val="00774419"/>
    <w:rsid w:val="0077677F"/>
    <w:rsid w:val="00776785"/>
    <w:rsid w:val="00776C00"/>
    <w:rsid w:val="00780159"/>
    <w:rsid w:val="00780B15"/>
    <w:rsid w:val="00780B24"/>
    <w:rsid w:val="00780C11"/>
    <w:rsid w:val="00780FB4"/>
    <w:rsid w:val="007817FB"/>
    <w:rsid w:val="00781A36"/>
    <w:rsid w:val="00781E05"/>
    <w:rsid w:val="00783293"/>
    <w:rsid w:val="00785282"/>
    <w:rsid w:val="007861AA"/>
    <w:rsid w:val="0078676D"/>
    <w:rsid w:val="0078722D"/>
    <w:rsid w:val="007874B6"/>
    <w:rsid w:val="00787B93"/>
    <w:rsid w:val="0079037B"/>
    <w:rsid w:val="007915B1"/>
    <w:rsid w:val="00792074"/>
    <w:rsid w:val="00792299"/>
    <w:rsid w:val="007928F9"/>
    <w:rsid w:val="00792DAE"/>
    <w:rsid w:val="00792E10"/>
    <w:rsid w:val="007939F0"/>
    <w:rsid w:val="00793B77"/>
    <w:rsid w:val="00794787"/>
    <w:rsid w:val="00794E1A"/>
    <w:rsid w:val="00795090"/>
    <w:rsid w:val="0079640F"/>
    <w:rsid w:val="00796F69"/>
    <w:rsid w:val="007A09CE"/>
    <w:rsid w:val="007A231C"/>
    <w:rsid w:val="007A2CDF"/>
    <w:rsid w:val="007A35A8"/>
    <w:rsid w:val="007A51E1"/>
    <w:rsid w:val="007A5C8D"/>
    <w:rsid w:val="007A6CF4"/>
    <w:rsid w:val="007A6F37"/>
    <w:rsid w:val="007A74BC"/>
    <w:rsid w:val="007B06FE"/>
    <w:rsid w:val="007B0E42"/>
    <w:rsid w:val="007B1412"/>
    <w:rsid w:val="007B1B3F"/>
    <w:rsid w:val="007B3496"/>
    <w:rsid w:val="007B3BF6"/>
    <w:rsid w:val="007B7255"/>
    <w:rsid w:val="007B7C29"/>
    <w:rsid w:val="007C0CEE"/>
    <w:rsid w:val="007C2AAC"/>
    <w:rsid w:val="007C3397"/>
    <w:rsid w:val="007C3522"/>
    <w:rsid w:val="007C4D69"/>
    <w:rsid w:val="007C4E44"/>
    <w:rsid w:val="007C53B1"/>
    <w:rsid w:val="007C5949"/>
    <w:rsid w:val="007C5C27"/>
    <w:rsid w:val="007C6C91"/>
    <w:rsid w:val="007C6D13"/>
    <w:rsid w:val="007C773C"/>
    <w:rsid w:val="007D07C7"/>
    <w:rsid w:val="007D1E3C"/>
    <w:rsid w:val="007D207A"/>
    <w:rsid w:val="007D2864"/>
    <w:rsid w:val="007D2B0A"/>
    <w:rsid w:val="007D392A"/>
    <w:rsid w:val="007D4DB9"/>
    <w:rsid w:val="007D5268"/>
    <w:rsid w:val="007D5399"/>
    <w:rsid w:val="007D6E98"/>
    <w:rsid w:val="007D754B"/>
    <w:rsid w:val="007E09C5"/>
    <w:rsid w:val="007E2012"/>
    <w:rsid w:val="007E5762"/>
    <w:rsid w:val="007E5CF7"/>
    <w:rsid w:val="007E621A"/>
    <w:rsid w:val="007E63B0"/>
    <w:rsid w:val="007F23B4"/>
    <w:rsid w:val="007F2E41"/>
    <w:rsid w:val="007F3CF2"/>
    <w:rsid w:val="007F5C32"/>
    <w:rsid w:val="007F64C5"/>
    <w:rsid w:val="00800346"/>
    <w:rsid w:val="00801A29"/>
    <w:rsid w:val="00802B20"/>
    <w:rsid w:val="0080324F"/>
    <w:rsid w:val="00803A76"/>
    <w:rsid w:val="00803C14"/>
    <w:rsid w:val="008058E2"/>
    <w:rsid w:val="008074E7"/>
    <w:rsid w:val="00807513"/>
    <w:rsid w:val="008075DA"/>
    <w:rsid w:val="00807970"/>
    <w:rsid w:val="00811055"/>
    <w:rsid w:val="00814322"/>
    <w:rsid w:val="00815163"/>
    <w:rsid w:val="00815367"/>
    <w:rsid w:val="00815F51"/>
    <w:rsid w:val="00816A7C"/>
    <w:rsid w:val="00816BB5"/>
    <w:rsid w:val="00816C38"/>
    <w:rsid w:val="00817D32"/>
    <w:rsid w:val="00820BCF"/>
    <w:rsid w:val="00821AAB"/>
    <w:rsid w:val="00822413"/>
    <w:rsid w:val="008233B3"/>
    <w:rsid w:val="008243D6"/>
    <w:rsid w:val="00826BE8"/>
    <w:rsid w:val="00827CA8"/>
    <w:rsid w:val="00830C27"/>
    <w:rsid w:val="00832140"/>
    <w:rsid w:val="008322F1"/>
    <w:rsid w:val="00832650"/>
    <w:rsid w:val="00832E5A"/>
    <w:rsid w:val="00833254"/>
    <w:rsid w:val="008333EE"/>
    <w:rsid w:val="008349F7"/>
    <w:rsid w:val="008351EB"/>
    <w:rsid w:val="008356A3"/>
    <w:rsid w:val="008378F6"/>
    <w:rsid w:val="00837925"/>
    <w:rsid w:val="008404EB"/>
    <w:rsid w:val="00841603"/>
    <w:rsid w:val="00844293"/>
    <w:rsid w:val="00844A01"/>
    <w:rsid w:val="008455B0"/>
    <w:rsid w:val="00845CE4"/>
    <w:rsid w:val="008467D3"/>
    <w:rsid w:val="008474D7"/>
    <w:rsid w:val="008475A9"/>
    <w:rsid w:val="00847DB9"/>
    <w:rsid w:val="00847ECC"/>
    <w:rsid w:val="0085121A"/>
    <w:rsid w:val="00852AD1"/>
    <w:rsid w:val="00852E87"/>
    <w:rsid w:val="00853488"/>
    <w:rsid w:val="008551C0"/>
    <w:rsid w:val="0085544E"/>
    <w:rsid w:val="0085592E"/>
    <w:rsid w:val="00855E97"/>
    <w:rsid w:val="00857C92"/>
    <w:rsid w:val="00860B4E"/>
    <w:rsid w:val="00860CBA"/>
    <w:rsid w:val="008610F9"/>
    <w:rsid w:val="00861331"/>
    <w:rsid w:val="008631DC"/>
    <w:rsid w:val="008637BC"/>
    <w:rsid w:val="008641A8"/>
    <w:rsid w:val="0086455C"/>
    <w:rsid w:val="0086460B"/>
    <w:rsid w:val="008647F3"/>
    <w:rsid w:val="0086602F"/>
    <w:rsid w:val="00866591"/>
    <w:rsid w:val="00867667"/>
    <w:rsid w:val="00867929"/>
    <w:rsid w:val="008703A3"/>
    <w:rsid w:val="00870C8F"/>
    <w:rsid w:val="00870CB9"/>
    <w:rsid w:val="0087157E"/>
    <w:rsid w:val="00872429"/>
    <w:rsid w:val="00872D42"/>
    <w:rsid w:val="0087364E"/>
    <w:rsid w:val="008742C8"/>
    <w:rsid w:val="00874377"/>
    <w:rsid w:val="008743F6"/>
    <w:rsid w:val="0087445A"/>
    <w:rsid w:val="008754E7"/>
    <w:rsid w:val="008779C4"/>
    <w:rsid w:val="00877A05"/>
    <w:rsid w:val="00880FE8"/>
    <w:rsid w:val="00881ED0"/>
    <w:rsid w:val="008820BD"/>
    <w:rsid w:val="008821D0"/>
    <w:rsid w:val="00882AE2"/>
    <w:rsid w:val="00883350"/>
    <w:rsid w:val="008841F2"/>
    <w:rsid w:val="00884EA5"/>
    <w:rsid w:val="00885733"/>
    <w:rsid w:val="00885AFA"/>
    <w:rsid w:val="008861BF"/>
    <w:rsid w:val="00887CF6"/>
    <w:rsid w:val="0089016F"/>
    <w:rsid w:val="008901EA"/>
    <w:rsid w:val="00890D09"/>
    <w:rsid w:val="008924D8"/>
    <w:rsid w:val="0089313F"/>
    <w:rsid w:val="00894196"/>
    <w:rsid w:val="008943FB"/>
    <w:rsid w:val="00894987"/>
    <w:rsid w:val="0089595E"/>
    <w:rsid w:val="00895B46"/>
    <w:rsid w:val="0089612E"/>
    <w:rsid w:val="008961A8"/>
    <w:rsid w:val="0089622C"/>
    <w:rsid w:val="008964B9"/>
    <w:rsid w:val="00897295"/>
    <w:rsid w:val="008A012D"/>
    <w:rsid w:val="008A0D52"/>
    <w:rsid w:val="008A216A"/>
    <w:rsid w:val="008A2A7A"/>
    <w:rsid w:val="008A2EBE"/>
    <w:rsid w:val="008A3FBB"/>
    <w:rsid w:val="008A4072"/>
    <w:rsid w:val="008A4F24"/>
    <w:rsid w:val="008A4FD4"/>
    <w:rsid w:val="008A6221"/>
    <w:rsid w:val="008A6676"/>
    <w:rsid w:val="008A6C84"/>
    <w:rsid w:val="008A6C98"/>
    <w:rsid w:val="008A75E3"/>
    <w:rsid w:val="008B05AD"/>
    <w:rsid w:val="008B0EDE"/>
    <w:rsid w:val="008B2524"/>
    <w:rsid w:val="008B2D5C"/>
    <w:rsid w:val="008B3CD4"/>
    <w:rsid w:val="008B3DC0"/>
    <w:rsid w:val="008B4C60"/>
    <w:rsid w:val="008B5D32"/>
    <w:rsid w:val="008B656A"/>
    <w:rsid w:val="008B7111"/>
    <w:rsid w:val="008B712C"/>
    <w:rsid w:val="008B7244"/>
    <w:rsid w:val="008B79BA"/>
    <w:rsid w:val="008C0161"/>
    <w:rsid w:val="008C0168"/>
    <w:rsid w:val="008C0B9B"/>
    <w:rsid w:val="008C26B4"/>
    <w:rsid w:val="008C2D47"/>
    <w:rsid w:val="008C2E67"/>
    <w:rsid w:val="008C3D54"/>
    <w:rsid w:val="008C4603"/>
    <w:rsid w:val="008C47A8"/>
    <w:rsid w:val="008C48E2"/>
    <w:rsid w:val="008C49FA"/>
    <w:rsid w:val="008C5B72"/>
    <w:rsid w:val="008C5F7E"/>
    <w:rsid w:val="008D02B8"/>
    <w:rsid w:val="008D098B"/>
    <w:rsid w:val="008D230A"/>
    <w:rsid w:val="008D4BA7"/>
    <w:rsid w:val="008D52AF"/>
    <w:rsid w:val="008D5493"/>
    <w:rsid w:val="008D610B"/>
    <w:rsid w:val="008D731B"/>
    <w:rsid w:val="008D73AE"/>
    <w:rsid w:val="008D7EAC"/>
    <w:rsid w:val="008E0514"/>
    <w:rsid w:val="008E0FBD"/>
    <w:rsid w:val="008E262A"/>
    <w:rsid w:val="008E3301"/>
    <w:rsid w:val="008E3937"/>
    <w:rsid w:val="008E3F39"/>
    <w:rsid w:val="008E4C85"/>
    <w:rsid w:val="008E528C"/>
    <w:rsid w:val="008E6DEF"/>
    <w:rsid w:val="008F02D0"/>
    <w:rsid w:val="008F084E"/>
    <w:rsid w:val="008F1DE5"/>
    <w:rsid w:val="008F39D9"/>
    <w:rsid w:val="008F51EC"/>
    <w:rsid w:val="008F51FF"/>
    <w:rsid w:val="008F527C"/>
    <w:rsid w:val="008F5757"/>
    <w:rsid w:val="008F62A6"/>
    <w:rsid w:val="008F6ACD"/>
    <w:rsid w:val="00900834"/>
    <w:rsid w:val="0090198E"/>
    <w:rsid w:val="0090227A"/>
    <w:rsid w:val="0090263C"/>
    <w:rsid w:val="00902E38"/>
    <w:rsid w:val="009036BC"/>
    <w:rsid w:val="009036F8"/>
    <w:rsid w:val="00903FD1"/>
    <w:rsid w:val="0090401D"/>
    <w:rsid w:val="00905023"/>
    <w:rsid w:val="0090696E"/>
    <w:rsid w:val="00906E18"/>
    <w:rsid w:val="00907C88"/>
    <w:rsid w:val="00907E7C"/>
    <w:rsid w:val="00910043"/>
    <w:rsid w:val="00910860"/>
    <w:rsid w:val="0091237C"/>
    <w:rsid w:val="00912787"/>
    <w:rsid w:val="0091305B"/>
    <w:rsid w:val="00914026"/>
    <w:rsid w:val="00914FB2"/>
    <w:rsid w:val="00915215"/>
    <w:rsid w:val="0091540C"/>
    <w:rsid w:val="00916E31"/>
    <w:rsid w:val="00920050"/>
    <w:rsid w:val="009201EC"/>
    <w:rsid w:val="00920346"/>
    <w:rsid w:val="009204DD"/>
    <w:rsid w:val="00920FDB"/>
    <w:rsid w:val="00921CCB"/>
    <w:rsid w:val="009224B6"/>
    <w:rsid w:val="00922A05"/>
    <w:rsid w:val="0092415E"/>
    <w:rsid w:val="00924812"/>
    <w:rsid w:val="0092595C"/>
    <w:rsid w:val="009259B5"/>
    <w:rsid w:val="00926396"/>
    <w:rsid w:val="00926742"/>
    <w:rsid w:val="00927E17"/>
    <w:rsid w:val="00930890"/>
    <w:rsid w:val="00930ED8"/>
    <w:rsid w:val="00931A93"/>
    <w:rsid w:val="009351E4"/>
    <w:rsid w:val="00937576"/>
    <w:rsid w:val="0094072A"/>
    <w:rsid w:val="00941952"/>
    <w:rsid w:val="00941D3C"/>
    <w:rsid w:val="00943F72"/>
    <w:rsid w:val="00944280"/>
    <w:rsid w:val="0094447B"/>
    <w:rsid w:val="00944C7A"/>
    <w:rsid w:val="00945558"/>
    <w:rsid w:val="00946176"/>
    <w:rsid w:val="009469FA"/>
    <w:rsid w:val="00947492"/>
    <w:rsid w:val="00947F57"/>
    <w:rsid w:val="00951BE9"/>
    <w:rsid w:val="009529AE"/>
    <w:rsid w:val="00952D0A"/>
    <w:rsid w:val="00952FC1"/>
    <w:rsid w:val="009531C6"/>
    <w:rsid w:val="00954201"/>
    <w:rsid w:val="009548F6"/>
    <w:rsid w:val="009549B0"/>
    <w:rsid w:val="00955065"/>
    <w:rsid w:val="00955295"/>
    <w:rsid w:val="00955ADD"/>
    <w:rsid w:val="009565EE"/>
    <w:rsid w:val="00956B5B"/>
    <w:rsid w:val="009600F5"/>
    <w:rsid w:val="00960962"/>
    <w:rsid w:val="00960A69"/>
    <w:rsid w:val="00960B73"/>
    <w:rsid w:val="0096191D"/>
    <w:rsid w:val="00961B9A"/>
    <w:rsid w:val="00961E07"/>
    <w:rsid w:val="009624B0"/>
    <w:rsid w:val="00963044"/>
    <w:rsid w:val="00963554"/>
    <w:rsid w:val="00965B73"/>
    <w:rsid w:val="00966214"/>
    <w:rsid w:val="00967077"/>
    <w:rsid w:val="0096792D"/>
    <w:rsid w:val="0097029F"/>
    <w:rsid w:val="009706EA"/>
    <w:rsid w:val="00970F65"/>
    <w:rsid w:val="00971ABD"/>
    <w:rsid w:val="00972085"/>
    <w:rsid w:val="00973332"/>
    <w:rsid w:val="0097347E"/>
    <w:rsid w:val="009738D0"/>
    <w:rsid w:val="00974D57"/>
    <w:rsid w:val="00974F24"/>
    <w:rsid w:val="00975D7A"/>
    <w:rsid w:val="00976510"/>
    <w:rsid w:val="0097694D"/>
    <w:rsid w:val="00977179"/>
    <w:rsid w:val="00980B28"/>
    <w:rsid w:val="0098133C"/>
    <w:rsid w:val="00981A3F"/>
    <w:rsid w:val="009829F1"/>
    <w:rsid w:val="00983192"/>
    <w:rsid w:val="00983537"/>
    <w:rsid w:val="00984BFE"/>
    <w:rsid w:val="0098509A"/>
    <w:rsid w:val="00985457"/>
    <w:rsid w:val="00987CB8"/>
    <w:rsid w:val="00987EEB"/>
    <w:rsid w:val="00990214"/>
    <w:rsid w:val="00990EEA"/>
    <w:rsid w:val="00991BCF"/>
    <w:rsid w:val="009923F9"/>
    <w:rsid w:val="00992405"/>
    <w:rsid w:val="00992B70"/>
    <w:rsid w:val="00992C0C"/>
    <w:rsid w:val="00992CD3"/>
    <w:rsid w:val="00994072"/>
    <w:rsid w:val="009944B7"/>
    <w:rsid w:val="00994A85"/>
    <w:rsid w:val="00994C62"/>
    <w:rsid w:val="009952E2"/>
    <w:rsid w:val="00996692"/>
    <w:rsid w:val="00997272"/>
    <w:rsid w:val="00997698"/>
    <w:rsid w:val="00997EE0"/>
    <w:rsid w:val="009A0AEB"/>
    <w:rsid w:val="009A111D"/>
    <w:rsid w:val="009A2426"/>
    <w:rsid w:val="009A2504"/>
    <w:rsid w:val="009A2A39"/>
    <w:rsid w:val="009A2CF2"/>
    <w:rsid w:val="009A3069"/>
    <w:rsid w:val="009A3D1E"/>
    <w:rsid w:val="009A4A69"/>
    <w:rsid w:val="009A5967"/>
    <w:rsid w:val="009A686A"/>
    <w:rsid w:val="009A76BB"/>
    <w:rsid w:val="009A7E84"/>
    <w:rsid w:val="009B0BA0"/>
    <w:rsid w:val="009B0EF9"/>
    <w:rsid w:val="009B14E4"/>
    <w:rsid w:val="009B16FB"/>
    <w:rsid w:val="009B1972"/>
    <w:rsid w:val="009B24DF"/>
    <w:rsid w:val="009B3A45"/>
    <w:rsid w:val="009B40D3"/>
    <w:rsid w:val="009B44CA"/>
    <w:rsid w:val="009B53AD"/>
    <w:rsid w:val="009B5A4C"/>
    <w:rsid w:val="009B7E60"/>
    <w:rsid w:val="009C20C4"/>
    <w:rsid w:val="009C3441"/>
    <w:rsid w:val="009C3BBC"/>
    <w:rsid w:val="009C3F72"/>
    <w:rsid w:val="009C502F"/>
    <w:rsid w:val="009C5B0F"/>
    <w:rsid w:val="009C614E"/>
    <w:rsid w:val="009D1DC9"/>
    <w:rsid w:val="009D4725"/>
    <w:rsid w:val="009D472D"/>
    <w:rsid w:val="009D50A8"/>
    <w:rsid w:val="009D52F8"/>
    <w:rsid w:val="009D6D48"/>
    <w:rsid w:val="009D7C37"/>
    <w:rsid w:val="009E0C07"/>
    <w:rsid w:val="009E1E68"/>
    <w:rsid w:val="009E22A5"/>
    <w:rsid w:val="009E3817"/>
    <w:rsid w:val="009E3969"/>
    <w:rsid w:val="009E443B"/>
    <w:rsid w:val="009E4649"/>
    <w:rsid w:val="009E4C77"/>
    <w:rsid w:val="009E4E8B"/>
    <w:rsid w:val="009E50EF"/>
    <w:rsid w:val="009E6581"/>
    <w:rsid w:val="009E76DA"/>
    <w:rsid w:val="009E78A6"/>
    <w:rsid w:val="009F0384"/>
    <w:rsid w:val="009F041C"/>
    <w:rsid w:val="009F0CCC"/>
    <w:rsid w:val="009F13EA"/>
    <w:rsid w:val="009F1B28"/>
    <w:rsid w:val="009F274C"/>
    <w:rsid w:val="009F3119"/>
    <w:rsid w:val="009F39A2"/>
    <w:rsid w:val="009F3BF5"/>
    <w:rsid w:val="009F5C0A"/>
    <w:rsid w:val="009F68FB"/>
    <w:rsid w:val="009F72EC"/>
    <w:rsid w:val="00A00FF6"/>
    <w:rsid w:val="00A042D6"/>
    <w:rsid w:val="00A06BC7"/>
    <w:rsid w:val="00A1020D"/>
    <w:rsid w:val="00A106F1"/>
    <w:rsid w:val="00A11286"/>
    <w:rsid w:val="00A12A98"/>
    <w:rsid w:val="00A12C52"/>
    <w:rsid w:val="00A12D80"/>
    <w:rsid w:val="00A130F5"/>
    <w:rsid w:val="00A13812"/>
    <w:rsid w:val="00A1388B"/>
    <w:rsid w:val="00A14C57"/>
    <w:rsid w:val="00A15428"/>
    <w:rsid w:val="00A16090"/>
    <w:rsid w:val="00A1645D"/>
    <w:rsid w:val="00A16626"/>
    <w:rsid w:val="00A16F5B"/>
    <w:rsid w:val="00A170AF"/>
    <w:rsid w:val="00A17DF8"/>
    <w:rsid w:val="00A20133"/>
    <w:rsid w:val="00A21B94"/>
    <w:rsid w:val="00A22207"/>
    <w:rsid w:val="00A22240"/>
    <w:rsid w:val="00A22656"/>
    <w:rsid w:val="00A22A38"/>
    <w:rsid w:val="00A23EA5"/>
    <w:rsid w:val="00A2454B"/>
    <w:rsid w:val="00A24830"/>
    <w:rsid w:val="00A24BD4"/>
    <w:rsid w:val="00A24F75"/>
    <w:rsid w:val="00A25955"/>
    <w:rsid w:val="00A25993"/>
    <w:rsid w:val="00A26ECC"/>
    <w:rsid w:val="00A27ACB"/>
    <w:rsid w:val="00A27B16"/>
    <w:rsid w:val="00A27B3B"/>
    <w:rsid w:val="00A27B9D"/>
    <w:rsid w:val="00A30D9E"/>
    <w:rsid w:val="00A30EED"/>
    <w:rsid w:val="00A31683"/>
    <w:rsid w:val="00A31CA6"/>
    <w:rsid w:val="00A3265B"/>
    <w:rsid w:val="00A347C7"/>
    <w:rsid w:val="00A34F97"/>
    <w:rsid w:val="00A35148"/>
    <w:rsid w:val="00A3557F"/>
    <w:rsid w:val="00A35E1D"/>
    <w:rsid w:val="00A36412"/>
    <w:rsid w:val="00A40295"/>
    <w:rsid w:val="00A41015"/>
    <w:rsid w:val="00A42727"/>
    <w:rsid w:val="00A4324B"/>
    <w:rsid w:val="00A43330"/>
    <w:rsid w:val="00A44B7F"/>
    <w:rsid w:val="00A45186"/>
    <w:rsid w:val="00A45C42"/>
    <w:rsid w:val="00A45C49"/>
    <w:rsid w:val="00A45E15"/>
    <w:rsid w:val="00A470DA"/>
    <w:rsid w:val="00A51508"/>
    <w:rsid w:val="00A51829"/>
    <w:rsid w:val="00A51C5A"/>
    <w:rsid w:val="00A546C1"/>
    <w:rsid w:val="00A5517A"/>
    <w:rsid w:val="00A55CB3"/>
    <w:rsid w:val="00A56505"/>
    <w:rsid w:val="00A56DDD"/>
    <w:rsid w:val="00A60125"/>
    <w:rsid w:val="00A60A91"/>
    <w:rsid w:val="00A61F62"/>
    <w:rsid w:val="00A62A0D"/>
    <w:rsid w:val="00A63793"/>
    <w:rsid w:val="00A63B9F"/>
    <w:rsid w:val="00A646A9"/>
    <w:rsid w:val="00A64B88"/>
    <w:rsid w:val="00A64E55"/>
    <w:rsid w:val="00A65047"/>
    <w:rsid w:val="00A65430"/>
    <w:rsid w:val="00A65BAA"/>
    <w:rsid w:val="00A66C12"/>
    <w:rsid w:val="00A66EEF"/>
    <w:rsid w:val="00A67AE9"/>
    <w:rsid w:val="00A7011D"/>
    <w:rsid w:val="00A703EF"/>
    <w:rsid w:val="00A706D3"/>
    <w:rsid w:val="00A70C03"/>
    <w:rsid w:val="00A70E69"/>
    <w:rsid w:val="00A70EE3"/>
    <w:rsid w:val="00A70FF1"/>
    <w:rsid w:val="00A710C3"/>
    <w:rsid w:val="00A71203"/>
    <w:rsid w:val="00A7176E"/>
    <w:rsid w:val="00A71C58"/>
    <w:rsid w:val="00A73ABD"/>
    <w:rsid w:val="00A73D9A"/>
    <w:rsid w:val="00A73E4E"/>
    <w:rsid w:val="00A74458"/>
    <w:rsid w:val="00A74750"/>
    <w:rsid w:val="00A748F7"/>
    <w:rsid w:val="00A7576F"/>
    <w:rsid w:val="00A7603E"/>
    <w:rsid w:val="00A76EE2"/>
    <w:rsid w:val="00A77BA7"/>
    <w:rsid w:val="00A77C24"/>
    <w:rsid w:val="00A80037"/>
    <w:rsid w:val="00A805C7"/>
    <w:rsid w:val="00A8112E"/>
    <w:rsid w:val="00A81815"/>
    <w:rsid w:val="00A818CC"/>
    <w:rsid w:val="00A81C89"/>
    <w:rsid w:val="00A8276B"/>
    <w:rsid w:val="00A84553"/>
    <w:rsid w:val="00A846CC"/>
    <w:rsid w:val="00A84A23"/>
    <w:rsid w:val="00A8554E"/>
    <w:rsid w:val="00A860C3"/>
    <w:rsid w:val="00A865FE"/>
    <w:rsid w:val="00A866C8"/>
    <w:rsid w:val="00A86AA4"/>
    <w:rsid w:val="00A87218"/>
    <w:rsid w:val="00A87CEE"/>
    <w:rsid w:val="00A90278"/>
    <w:rsid w:val="00A917A1"/>
    <w:rsid w:val="00A91B92"/>
    <w:rsid w:val="00A924EF"/>
    <w:rsid w:val="00A92B6D"/>
    <w:rsid w:val="00A93D27"/>
    <w:rsid w:val="00A94976"/>
    <w:rsid w:val="00A95195"/>
    <w:rsid w:val="00A959D4"/>
    <w:rsid w:val="00A95D2D"/>
    <w:rsid w:val="00AA0F69"/>
    <w:rsid w:val="00AA1732"/>
    <w:rsid w:val="00AA1BD2"/>
    <w:rsid w:val="00AA2ADC"/>
    <w:rsid w:val="00AA39E2"/>
    <w:rsid w:val="00AA49C0"/>
    <w:rsid w:val="00AA5E63"/>
    <w:rsid w:val="00AA6BA9"/>
    <w:rsid w:val="00AA7468"/>
    <w:rsid w:val="00AB065D"/>
    <w:rsid w:val="00AB0D38"/>
    <w:rsid w:val="00AB11E4"/>
    <w:rsid w:val="00AB2209"/>
    <w:rsid w:val="00AB3CB6"/>
    <w:rsid w:val="00AB3E2F"/>
    <w:rsid w:val="00AB47C4"/>
    <w:rsid w:val="00AB4885"/>
    <w:rsid w:val="00AB4BCD"/>
    <w:rsid w:val="00AB4D72"/>
    <w:rsid w:val="00AB4F21"/>
    <w:rsid w:val="00AB5593"/>
    <w:rsid w:val="00AB5CBE"/>
    <w:rsid w:val="00AB68DE"/>
    <w:rsid w:val="00AB7380"/>
    <w:rsid w:val="00AB78D4"/>
    <w:rsid w:val="00AB7A7A"/>
    <w:rsid w:val="00AC1958"/>
    <w:rsid w:val="00AC1C93"/>
    <w:rsid w:val="00AC290E"/>
    <w:rsid w:val="00AC30C0"/>
    <w:rsid w:val="00AC396F"/>
    <w:rsid w:val="00AC39AE"/>
    <w:rsid w:val="00AC4395"/>
    <w:rsid w:val="00AC4539"/>
    <w:rsid w:val="00AC4B48"/>
    <w:rsid w:val="00AC6266"/>
    <w:rsid w:val="00AC65C2"/>
    <w:rsid w:val="00AC7B36"/>
    <w:rsid w:val="00AD073B"/>
    <w:rsid w:val="00AD0EA5"/>
    <w:rsid w:val="00AD1A4F"/>
    <w:rsid w:val="00AD374D"/>
    <w:rsid w:val="00AD4E2C"/>
    <w:rsid w:val="00AD4EC6"/>
    <w:rsid w:val="00AD532E"/>
    <w:rsid w:val="00AD59B2"/>
    <w:rsid w:val="00AD65C1"/>
    <w:rsid w:val="00AD6AE2"/>
    <w:rsid w:val="00AD7243"/>
    <w:rsid w:val="00AD7668"/>
    <w:rsid w:val="00AD7823"/>
    <w:rsid w:val="00AE040D"/>
    <w:rsid w:val="00AE13D8"/>
    <w:rsid w:val="00AE1C1D"/>
    <w:rsid w:val="00AE1C98"/>
    <w:rsid w:val="00AE2A60"/>
    <w:rsid w:val="00AE3007"/>
    <w:rsid w:val="00AE30DF"/>
    <w:rsid w:val="00AE32E5"/>
    <w:rsid w:val="00AE37C9"/>
    <w:rsid w:val="00AE428C"/>
    <w:rsid w:val="00AE5324"/>
    <w:rsid w:val="00AE533F"/>
    <w:rsid w:val="00AE54BE"/>
    <w:rsid w:val="00AE5663"/>
    <w:rsid w:val="00AE6884"/>
    <w:rsid w:val="00AE6BFD"/>
    <w:rsid w:val="00AE760A"/>
    <w:rsid w:val="00AE783B"/>
    <w:rsid w:val="00AE7FE6"/>
    <w:rsid w:val="00AF0363"/>
    <w:rsid w:val="00AF0980"/>
    <w:rsid w:val="00AF0C23"/>
    <w:rsid w:val="00AF1745"/>
    <w:rsid w:val="00AF2820"/>
    <w:rsid w:val="00AF28C0"/>
    <w:rsid w:val="00AF2B39"/>
    <w:rsid w:val="00AF2FEE"/>
    <w:rsid w:val="00AF3526"/>
    <w:rsid w:val="00AF3E16"/>
    <w:rsid w:val="00AF4128"/>
    <w:rsid w:val="00AF4285"/>
    <w:rsid w:val="00AF5588"/>
    <w:rsid w:val="00AF57EC"/>
    <w:rsid w:val="00AF5A29"/>
    <w:rsid w:val="00AF6102"/>
    <w:rsid w:val="00AF714D"/>
    <w:rsid w:val="00AF7407"/>
    <w:rsid w:val="00B0000E"/>
    <w:rsid w:val="00B0018D"/>
    <w:rsid w:val="00B007CA"/>
    <w:rsid w:val="00B00B69"/>
    <w:rsid w:val="00B00F33"/>
    <w:rsid w:val="00B01FDA"/>
    <w:rsid w:val="00B03406"/>
    <w:rsid w:val="00B0386B"/>
    <w:rsid w:val="00B04419"/>
    <w:rsid w:val="00B05533"/>
    <w:rsid w:val="00B057B9"/>
    <w:rsid w:val="00B06981"/>
    <w:rsid w:val="00B0781F"/>
    <w:rsid w:val="00B07BCF"/>
    <w:rsid w:val="00B11CD4"/>
    <w:rsid w:val="00B11D55"/>
    <w:rsid w:val="00B12130"/>
    <w:rsid w:val="00B122F0"/>
    <w:rsid w:val="00B12BB0"/>
    <w:rsid w:val="00B12E8A"/>
    <w:rsid w:val="00B13465"/>
    <w:rsid w:val="00B13A7B"/>
    <w:rsid w:val="00B14196"/>
    <w:rsid w:val="00B142A3"/>
    <w:rsid w:val="00B144CB"/>
    <w:rsid w:val="00B14735"/>
    <w:rsid w:val="00B16461"/>
    <w:rsid w:val="00B16D35"/>
    <w:rsid w:val="00B1753E"/>
    <w:rsid w:val="00B176CF"/>
    <w:rsid w:val="00B20159"/>
    <w:rsid w:val="00B20CA6"/>
    <w:rsid w:val="00B22919"/>
    <w:rsid w:val="00B22B6B"/>
    <w:rsid w:val="00B2337B"/>
    <w:rsid w:val="00B24D8F"/>
    <w:rsid w:val="00B25753"/>
    <w:rsid w:val="00B30319"/>
    <w:rsid w:val="00B30EAC"/>
    <w:rsid w:val="00B3132D"/>
    <w:rsid w:val="00B320A1"/>
    <w:rsid w:val="00B33475"/>
    <w:rsid w:val="00B335C3"/>
    <w:rsid w:val="00B34AC5"/>
    <w:rsid w:val="00B34B02"/>
    <w:rsid w:val="00B360FC"/>
    <w:rsid w:val="00B36FC6"/>
    <w:rsid w:val="00B37352"/>
    <w:rsid w:val="00B3753E"/>
    <w:rsid w:val="00B406EF"/>
    <w:rsid w:val="00B41B07"/>
    <w:rsid w:val="00B4277E"/>
    <w:rsid w:val="00B42FDC"/>
    <w:rsid w:val="00B4306D"/>
    <w:rsid w:val="00B43CC6"/>
    <w:rsid w:val="00B443EF"/>
    <w:rsid w:val="00B449A2"/>
    <w:rsid w:val="00B44A2A"/>
    <w:rsid w:val="00B4577F"/>
    <w:rsid w:val="00B45787"/>
    <w:rsid w:val="00B47891"/>
    <w:rsid w:val="00B50D10"/>
    <w:rsid w:val="00B50FAD"/>
    <w:rsid w:val="00B52519"/>
    <w:rsid w:val="00B531F9"/>
    <w:rsid w:val="00B53309"/>
    <w:rsid w:val="00B544A1"/>
    <w:rsid w:val="00B54694"/>
    <w:rsid w:val="00B5770A"/>
    <w:rsid w:val="00B6017C"/>
    <w:rsid w:val="00B60182"/>
    <w:rsid w:val="00B60744"/>
    <w:rsid w:val="00B60999"/>
    <w:rsid w:val="00B6102F"/>
    <w:rsid w:val="00B627F3"/>
    <w:rsid w:val="00B6288F"/>
    <w:rsid w:val="00B62EAD"/>
    <w:rsid w:val="00B634B6"/>
    <w:rsid w:val="00B6372F"/>
    <w:rsid w:val="00B640AD"/>
    <w:rsid w:val="00B640DF"/>
    <w:rsid w:val="00B647D5"/>
    <w:rsid w:val="00B65BDE"/>
    <w:rsid w:val="00B66647"/>
    <w:rsid w:val="00B675B3"/>
    <w:rsid w:val="00B6798E"/>
    <w:rsid w:val="00B67ADD"/>
    <w:rsid w:val="00B67AFE"/>
    <w:rsid w:val="00B70665"/>
    <w:rsid w:val="00B7254D"/>
    <w:rsid w:val="00B725F3"/>
    <w:rsid w:val="00B76E61"/>
    <w:rsid w:val="00B771B7"/>
    <w:rsid w:val="00B771E3"/>
    <w:rsid w:val="00B77291"/>
    <w:rsid w:val="00B7766B"/>
    <w:rsid w:val="00B8039F"/>
    <w:rsid w:val="00B80AF3"/>
    <w:rsid w:val="00B811DC"/>
    <w:rsid w:val="00B82636"/>
    <w:rsid w:val="00B82C7E"/>
    <w:rsid w:val="00B82DD6"/>
    <w:rsid w:val="00B832D6"/>
    <w:rsid w:val="00B83763"/>
    <w:rsid w:val="00B83CBC"/>
    <w:rsid w:val="00B846AE"/>
    <w:rsid w:val="00B863AC"/>
    <w:rsid w:val="00B86EBC"/>
    <w:rsid w:val="00B90473"/>
    <w:rsid w:val="00B90E32"/>
    <w:rsid w:val="00B93D5A"/>
    <w:rsid w:val="00B95D14"/>
    <w:rsid w:val="00B962BD"/>
    <w:rsid w:val="00B978CB"/>
    <w:rsid w:val="00B97DB3"/>
    <w:rsid w:val="00BA01A1"/>
    <w:rsid w:val="00BA1048"/>
    <w:rsid w:val="00BA1D78"/>
    <w:rsid w:val="00BA277A"/>
    <w:rsid w:val="00BA2E15"/>
    <w:rsid w:val="00BA3178"/>
    <w:rsid w:val="00BA379A"/>
    <w:rsid w:val="00BA3E92"/>
    <w:rsid w:val="00BA4B69"/>
    <w:rsid w:val="00BA4C64"/>
    <w:rsid w:val="00BA4FDF"/>
    <w:rsid w:val="00BA558B"/>
    <w:rsid w:val="00BA5CBE"/>
    <w:rsid w:val="00BA62F4"/>
    <w:rsid w:val="00BA6CF4"/>
    <w:rsid w:val="00BA720C"/>
    <w:rsid w:val="00BA7EC1"/>
    <w:rsid w:val="00BB0C93"/>
    <w:rsid w:val="00BB3755"/>
    <w:rsid w:val="00BB4462"/>
    <w:rsid w:val="00BB44AF"/>
    <w:rsid w:val="00BB54B2"/>
    <w:rsid w:val="00BB72A1"/>
    <w:rsid w:val="00BB7701"/>
    <w:rsid w:val="00BB7C82"/>
    <w:rsid w:val="00BC0366"/>
    <w:rsid w:val="00BC0929"/>
    <w:rsid w:val="00BC16E6"/>
    <w:rsid w:val="00BC1B0C"/>
    <w:rsid w:val="00BC2C73"/>
    <w:rsid w:val="00BC30C4"/>
    <w:rsid w:val="00BC5393"/>
    <w:rsid w:val="00BC540A"/>
    <w:rsid w:val="00BC63A5"/>
    <w:rsid w:val="00BC7E19"/>
    <w:rsid w:val="00BD2D6D"/>
    <w:rsid w:val="00BD32DC"/>
    <w:rsid w:val="00BD44EB"/>
    <w:rsid w:val="00BD53B2"/>
    <w:rsid w:val="00BD6F1C"/>
    <w:rsid w:val="00BD70A1"/>
    <w:rsid w:val="00BD7A6D"/>
    <w:rsid w:val="00BE3120"/>
    <w:rsid w:val="00BE37C3"/>
    <w:rsid w:val="00BE3B20"/>
    <w:rsid w:val="00BE43ED"/>
    <w:rsid w:val="00BE5069"/>
    <w:rsid w:val="00BE5150"/>
    <w:rsid w:val="00BE579B"/>
    <w:rsid w:val="00BE59F3"/>
    <w:rsid w:val="00BE5D95"/>
    <w:rsid w:val="00BE6D06"/>
    <w:rsid w:val="00BE73F4"/>
    <w:rsid w:val="00BF099A"/>
    <w:rsid w:val="00BF33DF"/>
    <w:rsid w:val="00BF4816"/>
    <w:rsid w:val="00BF4D46"/>
    <w:rsid w:val="00BF756C"/>
    <w:rsid w:val="00BF7FC3"/>
    <w:rsid w:val="00C00792"/>
    <w:rsid w:val="00C010AD"/>
    <w:rsid w:val="00C02058"/>
    <w:rsid w:val="00C02590"/>
    <w:rsid w:val="00C03B69"/>
    <w:rsid w:val="00C04E5C"/>
    <w:rsid w:val="00C067F6"/>
    <w:rsid w:val="00C068BF"/>
    <w:rsid w:val="00C072F3"/>
    <w:rsid w:val="00C106AC"/>
    <w:rsid w:val="00C1072D"/>
    <w:rsid w:val="00C11655"/>
    <w:rsid w:val="00C12E6D"/>
    <w:rsid w:val="00C12F08"/>
    <w:rsid w:val="00C13DC1"/>
    <w:rsid w:val="00C13E97"/>
    <w:rsid w:val="00C149BA"/>
    <w:rsid w:val="00C16E0B"/>
    <w:rsid w:val="00C170F9"/>
    <w:rsid w:val="00C175AE"/>
    <w:rsid w:val="00C1772C"/>
    <w:rsid w:val="00C17DFB"/>
    <w:rsid w:val="00C17E76"/>
    <w:rsid w:val="00C20628"/>
    <w:rsid w:val="00C209F8"/>
    <w:rsid w:val="00C21473"/>
    <w:rsid w:val="00C23604"/>
    <w:rsid w:val="00C24735"/>
    <w:rsid w:val="00C2556E"/>
    <w:rsid w:val="00C25BEB"/>
    <w:rsid w:val="00C26259"/>
    <w:rsid w:val="00C278A5"/>
    <w:rsid w:val="00C27DBF"/>
    <w:rsid w:val="00C27E55"/>
    <w:rsid w:val="00C27E66"/>
    <w:rsid w:val="00C303E7"/>
    <w:rsid w:val="00C30B52"/>
    <w:rsid w:val="00C31417"/>
    <w:rsid w:val="00C31420"/>
    <w:rsid w:val="00C31C35"/>
    <w:rsid w:val="00C322C3"/>
    <w:rsid w:val="00C3295F"/>
    <w:rsid w:val="00C3313E"/>
    <w:rsid w:val="00C331D8"/>
    <w:rsid w:val="00C331EC"/>
    <w:rsid w:val="00C33BE3"/>
    <w:rsid w:val="00C33DE3"/>
    <w:rsid w:val="00C34CBB"/>
    <w:rsid w:val="00C35C0E"/>
    <w:rsid w:val="00C36B79"/>
    <w:rsid w:val="00C3718D"/>
    <w:rsid w:val="00C37B9E"/>
    <w:rsid w:val="00C402CA"/>
    <w:rsid w:val="00C41BB0"/>
    <w:rsid w:val="00C41FF3"/>
    <w:rsid w:val="00C4340C"/>
    <w:rsid w:val="00C43932"/>
    <w:rsid w:val="00C43AC6"/>
    <w:rsid w:val="00C43C0B"/>
    <w:rsid w:val="00C449E4"/>
    <w:rsid w:val="00C453F4"/>
    <w:rsid w:val="00C45F5A"/>
    <w:rsid w:val="00C46385"/>
    <w:rsid w:val="00C464BA"/>
    <w:rsid w:val="00C471B7"/>
    <w:rsid w:val="00C47256"/>
    <w:rsid w:val="00C510BF"/>
    <w:rsid w:val="00C51BBB"/>
    <w:rsid w:val="00C51EC4"/>
    <w:rsid w:val="00C5276F"/>
    <w:rsid w:val="00C52E70"/>
    <w:rsid w:val="00C53073"/>
    <w:rsid w:val="00C5466B"/>
    <w:rsid w:val="00C549B7"/>
    <w:rsid w:val="00C55964"/>
    <w:rsid w:val="00C55CF1"/>
    <w:rsid w:val="00C569AA"/>
    <w:rsid w:val="00C61305"/>
    <w:rsid w:val="00C613EA"/>
    <w:rsid w:val="00C62008"/>
    <w:rsid w:val="00C621DD"/>
    <w:rsid w:val="00C62708"/>
    <w:rsid w:val="00C62E6B"/>
    <w:rsid w:val="00C645AA"/>
    <w:rsid w:val="00C64E8D"/>
    <w:rsid w:val="00C65CD7"/>
    <w:rsid w:val="00C670F5"/>
    <w:rsid w:val="00C67833"/>
    <w:rsid w:val="00C703F5"/>
    <w:rsid w:val="00C71917"/>
    <w:rsid w:val="00C7233D"/>
    <w:rsid w:val="00C72617"/>
    <w:rsid w:val="00C72D41"/>
    <w:rsid w:val="00C7325B"/>
    <w:rsid w:val="00C73FE9"/>
    <w:rsid w:val="00C76C5F"/>
    <w:rsid w:val="00C77CCB"/>
    <w:rsid w:val="00C818D4"/>
    <w:rsid w:val="00C81BCC"/>
    <w:rsid w:val="00C82053"/>
    <w:rsid w:val="00C825DA"/>
    <w:rsid w:val="00C82BC6"/>
    <w:rsid w:val="00C82E7B"/>
    <w:rsid w:val="00C82F57"/>
    <w:rsid w:val="00C8331C"/>
    <w:rsid w:val="00C83C2E"/>
    <w:rsid w:val="00C84641"/>
    <w:rsid w:val="00C84D2C"/>
    <w:rsid w:val="00C84F8B"/>
    <w:rsid w:val="00C85095"/>
    <w:rsid w:val="00C85E8D"/>
    <w:rsid w:val="00C85FB0"/>
    <w:rsid w:val="00C86A70"/>
    <w:rsid w:val="00C86CF4"/>
    <w:rsid w:val="00C87402"/>
    <w:rsid w:val="00C9051F"/>
    <w:rsid w:val="00C9083C"/>
    <w:rsid w:val="00C91C08"/>
    <w:rsid w:val="00C93728"/>
    <w:rsid w:val="00C94241"/>
    <w:rsid w:val="00C94B10"/>
    <w:rsid w:val="00C94C4F"/>
    <w:rsid w:val="00C94F36"/>
    <w:rsid w:val="00C963F9"/>
    <w:rsid w:val="00C9672B"/>
    <w:rsid w:val="00CA0300"/>
    <w:rsid w:val="00CA1227"/>
    <w:rsid w:val="00CA1854"/>
    <w:rsid w:val="00CA194A"/>
    <w:rsid w:val="00CA1D0B"/>
    <w:rsid w:val="00CA24A3"/>
    <w:rsid w:val="00CA28E0"/>
    <w:rsid w:val="00CA3EE2"/>
    <w:rsid w:val="00CA53C2"/>
    <w:rsid w:val="00CA575F"/>
    <w:rsid w:val="00CA5A9A"/>
    <w:rsid w:val="00CA5F55"/>
    <w:rsid w:val="00CA6815"/>
    <w:rsid w:val="00CB02FB"/>
    <w:rsid w:val="00CB0C74"/>
    <w:rsid w:val="00CB141B"/>
    <w:rsid w:val="00CB1C40"/>
    <w:rsid w:val="00CB1C93"/>
    <w:rsid w:val="00CB3DE8"/>
    <w:rsid w:val="00CB453F"/>
    <w:rsid w:val="00CB4AB1"/>
    <w:rsid w:val="00CB64D5"/>
    <w:rsid w:val="00CB785C"/>
    <w:rsid w:val="00CB7A58"/>
    <w:rsid w:val="00CC07EB"/>
    <w:rsid w:val="00CC1515"/>
    <w:rsid w:val="00CC2ECF"/>
    <w:rsid w:val="00CC3261"/>
    <w:rsid w:val="00CC4DBA"/>
    <w:rsid w:val="00CC5082"/>
    <w:rsid w:val="00CC50EA"/>
    <w:rsid w:val="00CC5DF8"/>
    <w:rsid w:val="00CC604B"/>
    <w:rsid w:val="00CC6A54"/>
    <w:rsid w:val="00CC6B81"/>
    <w:rsid w:val="00CC730B"/>
    <w:rsid w:val="00CD0333"/>
    <w:rsid w:val="00CD0E90"/>
    <w:rsid w:val="00CD0EF4"/>
    <w:rsid w:val="00CD1917"/>
    <w:rsid w:val="00CD26CE"/>
    <w:rsid w:val="00CD2AAF"/>
    <w:rsid w:val="00CD2DF9"/>
    <w:rsid w:val="00CD3989"/>
    <w:rsid w:val="00CD39F3"/>
    <w:rsid w:val="00CD3F87"/>
    <w:rsid w:val="00CD4CE1"/>
    <w:rsid w:val="00CD515A"/>
    <w:rsid w:val="00CD6209"/>
    <w:rsid w:val="00CD6370"/>
    <w:rsid w:val="00CD6DBA"/>
    <w:rsid w:val="00CE037F"/>
    <w:rsid w:val="00CE07C0"/>
    <w:rsid w:val="00CE08FD"/>
    <w:rsid w:val="00CE14ED"/>
    <w:rsid w:val="00CE2D1C"/>
    <w:rsid w:val="00CE2F13"/>
    <w:rsid w:val="00CE3F8A"/>
    <w:rsid w:val="00CE5747"/>
    <w:rsid w:val="00CE578D"/>
    <w:rsid w:val="00CF08EE"/>
    <w:rsid w:val="00CF33AA"/>
    <w:rsid w:val="00CF381E"/>
    <w:rsid w:val="00CF39B5"/>
    <w:rsid w:val="00CF429D"/>
    <w:rsid w:val="00CF51AA"/>
    <w:rsid w:val="00CF579B"/>
    <w:rsid w:val="00CF65E9"/>
    <w:rsid w:val="00CF76FD"/>
    <w:rsid w:val="00D006C5"/>
    <w:rsid w:val="00D00DB6"/>
    <w:rsid w:val="00D04469"/>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3A19"/>
    <w:rsid w:val="00D24466"/>
    <w:rsid w:val="00D24611"/>
    <w:rsid w:val="00D247B0"/>
    <w:rsid w:val="00D260D4"/>
    <w:rsid w:val="00D30C97"/>
    <w:rsid w:val="00D32C28"/>
    <w:rsid w:val="00D34AD5"/>
    <w:rsid w:val="00D3591F"/>
    <w:rsid w:val="00D36919"/>
    <w:rsid w:val="00D37527"/>
    <w:rsid w:val="00D402C4"/>
    <w:rsid w:val="00D458A3"/>
    <w:rsid w:val="00D466E0"/>
    <w:rsid w:val="00D47A15"/>
    <w:rsid w:val="00D47CA5"/>
    <w:rsid w:val="00D47CE2"/>
    <w:rsid w:val="00D47D00"/>
    <w:rsid w:val="00D50637"/>
    <w:rsid w:val="00D51185"/>
    <w:rsid w:val="00D5164C"/>
    <w:rsid w:val="00D51DE4"/>
    <w:rsid w:val="00D5296D"/>
    <w:rsid w:val="00D546B6"/>
    <w:rsid w:val="00D54710"/>
    <w:rsid w:val="00D549B7"/>
    <w:rsid w:val="00D54B6D"/>
    <w:rsid w:val="00D55542"/>
    <w:rsid w:val="00D55743"/>
    <w:rsid w:val="00D56957"/>
    <w:rsid w:val="00D570CF"/>
    <w:rsid w:val="00D57B56"/>
    <w:rsid w:val="00D57F4C"/>
    <w:rsid w:val="00D60B2B"/>
    <w:rsid w:val="00D6179E"/>
    <w:rsid w:val="00D62C46"/>
    <w:rsid w:val="00D62EDF"/>
    <w:rsid w:val="00D62F4A"/>
    <w:rsid w:val="00D62F4F"/>
    <w:rsid w:val="00D64014"/>
    <w:rsid w:val="00D66890"/>
    <w:rsid w:val="00D707F5"/>
    <w:rsid w:val="00D70DF8"/>
    <w:rsid w:val="00D71056"/>
    <w:rsid w:val="00D710D8"/>
    <w:rsid w:val="00D725B7"/>
    <w:rsid w:val="00D72886"/>
    <w:rsid w:val="00D73740"/>
    <w:rsid w:val="00D741CE"/>
    <w:rsid w:val="00D743E7"/>
    <w:rsid w:val="00D745B9"/>
    <w:rsid w:val="00D74702"/>
    <w:rsid w:val="00D74CF4"/>
    <w:rsid w:val="00D761D2"/>
    <w:rsid w:val="00D764BF"/>
    <w:rsid w:val="00D77EB3"/>
    <w:rsid w:val="00D804CC"/>
    <w:rsid w:val="00D807EA"/>
    <w:rsid w:val="00D82704"/>
    <w:rsid w:val="00D82CD9"/>
    <w:rsid w:val="00D82F74"/>
    <w:rsid w:val="00D85AAD"/>
    <w:rsid w:val="00D86CD3"/>
    <w:rsid w:val="00D8749C"/>
    <w:rsid w:val="00D87587"/>
    <w:rsid w:val="00D90121"/>
    <w:rsid w:val="00D90B2F"/>
    <w:rsid w:val="00D90D72"/>
    <w:rsid w:val="00D9254A"/>
    <w:rsid w:val="00D925FA"/>
    <w:rsid w:val="00D928E2"/>
    <w:rsid w:val="00D935F8"/>
    <w:rsid w:val="00D93BBB"/>
    <w:rsid w:val="00D948E5"/>
    <w:rsid w:val="00D94953"/>
    <w:rsid w:val="00D9518D"/>
    <w:rsid w:val="00D9573F"/>
    <w:rsid w:val="00D95C1D"/>
    <w:rsid w:val="00D961B5"/>
    <w:rsid w:val="00D961E2"/>
    <w:rsid w:val="00D9628D"/>
    <w:rsid w:val="00D966A6"/>
    <w:rsid w:val="00D97162"/>
    <w:rsid w:val="00D974C5"/>
    <w:rsid w:val="00D978CB"/>
    <w:rsid w:val="00DA325A"/>
    <w:rsid w:val="00DA3595"/>
    <w:rsid w:val="00DA35A6"/>
    <w:rsid w:val="00DA3961"/>
    <w:rsid w:val="00DA405A"/>
    <w:rsid w:val="00DA6D1F"/>
    <w:rsid w:val="00DA6EE0"/>
    <w:rsid w:val="00DB0F97"/>
    <w:rsid w:val="00DB2605"/>
    <w:rsid w:val="00DB29FB"/>
    <w:rsid w:val="00DB2DD0"/>
    <w:rsid w:val="00DB3595"/>
    <w:rsid w:val="00DB46C6"/>
    <w:rsid w:val="00DB4A1B"/>
    <w:rsid w:val="00DB4B7F"/>
    <w:rsid w:val="00DB4D55"/>
    <w:rsid w:val="00DB667F"/>
    <w:rsid w:val="00DB736F"/>
    <w:rsid w:val="00DC0BF5"/>
    <w:rsid w:val="00DC18F8"/>
    <w:rsid w:val="00DC2596"/>
    <w:rsid w:val="00DC2723"/>
    <w:rsid w:val="00DC2853"/>
    <w:rsid w:val="00DC3140"/>
    <w:rsid w:val="00DC3305"/>
    <w:rsid w:val="00DC3FF6"/>
    <w:rsid w:val="00DC5447"/>
    <w:rsid w:val="00DC606F"/>
    <w:rsid w:val="00DC6835"/>
    <w:rsid w:val="00DC77F4"/>
    <w:rsid w:val="00DC7838"/>
    <w:rsid w:val="00DD0094"/>
    <w:rsid w:val="00DD079E"/>
    <w:rsid w:val="00DD0C49"/>
    <w:rsid w:val="00DD0F79"/>
    <w:rsid w:val="00DD1713"/>
    <w:rsid w:val="00DD26F2"/>
    <w:rsid w:val="00DD47BC"/>
    <w:rsid w:val="00DD57C1"/>
    <w:rsid w:val="00DD5A08"/>
    <w:rsid w:val="00DD6D54"/>
    <w:rsid w:val="00DD7D17"/>
    <w:rsid w:val="00DE0B03"/>
    <w:rsid w:val="00DE165F"/>
    <w:rsid w:val="00DE3AAD"/>
    <w:rsid w:val="00DE3B5D"/>
    <w:rsid w:val="00DE3C8B"/>
    <w:rsid w:val="00DE3F61"/>
    <w:rsid w:val="00DE42E9"/>
    <w:rsid w:val="00DE4C23"/>
    <w:rsid w:val="00DE502E"/>
    <w:rsid w:val="00DE5E1F"/>
    <w:rsid w:val="00DE6779"/>
    <w:rsid w:val="00DE7CA8"/>
    <w:rsid w:val="00DE7D53"/>
    <w:rsid w:val="00DF101C"/>
    <w:rsid w:val="00DF1642"/>
    <w:rsid w:val="00DF298B"/>
    <w:rsid w:val="00DF2B35"/>
    <w:rsid w:val="00DF2B36"/>
    <w:rsid w:val="00DF3826"/>
    <w:rsid w:val="00DF3A55"/>
    <w:rsid w:val="00DF42BC"/>
    <w:rsid w:val="00DF52B7"/>
    <w:rsid w:val="00E0010E"/>
    <w:rsid w:val="00E005A2"/>
    <w:rsid w:val="00E02B9B"/>
    <w:rsid w:val="00E02D64"/>
    <w:rsid w:val="00E033A0"/>
    <w:rsid w:val="00E03568"/>
    <w:rsid w:val="00E03CF3"/>
    <w:rsid w:val="00E04172"/>
    <w:rsid w:val="00E04E74"/>
    <w:rsid w:val="00E069E3"/>
    <w:rsid w:val="00E06D70"/>
    <w:rsid w:val="00E077E2"/>
    <w:rsid w:val="00E11769"/>
    <w:rsid w:val="00E1209C"/>
    <w:rsid w:val="00E12145"/>
    <w:rsid w:val="00E121B1"/>
    <w:rsid w:val="00E14075"/>
    <w:rsid w:val="00E1459E"/>
    <w:rsid w:val="00E157AE"/>
    <w:rsid w:val="00E160C1"/>
    <w:rsid w:val="00E16986"/>
    <w:rsid w:val="00E16B7D"/>
    <w:rsid w:val="00E16BAD"/>
    <w:rsid w:val="00E1713D"/>
    <w:rsid w:val="00E20864"/>
    <w:rsid w:val="00E20E80"/>
    <w:rsid w:val="00E2127E"/>
    <w:rsid w:val="00E21682"/>
    <w:rsid w:val="00E21C6C"/>
    <w:rsid w:val="00E227D6"/>
    <w:rsid w:val="00E23CB2"/>
    <w:rsid w:val="00E24535"/>
    <w:rsid w:val="00E24551"/>
    <w:rsid w:val="00E24EAA"/>
    <w:rsid w:val="00E2533F"/>
    <w:rsid w:val="00E2638F"/>
    <w:rsid w:val="00E2643D"/>
    <w:rsid w:val="00E26657"/>
    <w:rsid w:val="00E266EA"/>
    <w:rsid w:val="00E277F3"/>
    <w:rsid w:val="00E27A3B"/>
    <w:rsid w:val="00E27B98"/>
    <w:rsid w:val="00E302B4"/>
    <w:rsid w:val="00E312C5"/>
    <w:rsid w:val="00E31D28"/>
    <w:rsid w:val="00E33C1C"/>
    <w:rsid w:val="00E33FBC"/>
    <w:rsid w:val="00E342C9"/>
    <w:rsid w:val="00E34C07"/>
    <w:rsid w:val="00E3575E"/>
    <w:rsid w:val="00E35A36"/>
    <w:rsid w:val="00E35B2C"/>
    <w:rsid w:val="00E37048"/>
    <w:rsid w:val="00E40580"/>
    <w:rsid w:val="00E40A42"/>
    <w:rsid w:val="00E40E02"/>
    <w:rsid w:val="00E43947"/>
    <w:rsid w:val="00E453A2"/>
    <w:rsid w:val="00E45D06"/>
    <w:rsid w:val="00E474C5"/>
    <w:rsid w:val="00E47B70"/>
    <w:rsid w:val="00E5068E"/>
    <w:rsid w:val="00E50F80"/>
    <w:rsid w:val="00E51A6F"/>
    <w:rsid w:val="00E524C6"/>
    <w:rsid w:val="00E53CFD"/>
    <w:rsid w:val="00E545BD"/>
    <w:rsid w:val="00E547D6"/>
    <w:rsid w:val="00E54890"/>
    <w:rsid w:val="00E5508F"/>
    <w:rsid w:val="00E56416"/>
    <w:rsid w:val="00E57557"/>
    <w:rsid w:val="00E60582"/>
    <w:rsid w:val="00E6092E"/>
    <w:rsid w:val="00E6248F"/>
    <w:rsid w:val="00E626BD"/>
    <w:rsid w:val="00E63543"/>
    <w:rsid w:val="00E654B1"/>
    <w:rsid w:val="00E65BC4"/>
    <w:rsid w:val="00E65D04"/>
    <w:rsid w:val="00E6694A"/>
    <w:rsid w:val="00E66F5D"/>
    <w:rsid w:val="00E673D1"/>
    <w:rsid w:val="00E7111C"/>
    <w:rsid w:val="00E71800"/>
    <w:rsid w:val="00E71908"/>
    <w:rsid w:val="00E72124"/>
    <w:rsid w:val="00E74178"/>
    <w:rsid w:val="00E74449"/>
    <w:rsid w:val="00E74487"/>
    <w:rsid w:val="00E74F70"/>
    <w:rsid w:val="00E74FAB"/>
    <w:rsid w:val="00E7558F"/>
    <w:rsid w:val="00E75B14"/>
    <w:rsid w:val="00E75B19"/>
    <w:rsid w:val="00E75EE8"/>
    <w:rsid w:val="00E7793C"/>
    <w:rsid w:val="00E80067"/>
    <w:rsid w:val="00E81089"/>
    <w:rsid w:val="00E82949"/>
    <w:rsid w:val="00E844EB"/>
    <w:rsid w:val="00E85045"/>
    <w:rsid w:val="00E86325"/>
    <w:rsid w:val="00E869FB"/>
    <w:rsid w:val="00E86BCA"/>
    <w:rsid w:val="00E86D72"/>
    <w:rsid w:val="00E87042"/>
    <w:rsid w:val="00E873B9"/>
    <w:rsid w:val="00E87A7B"/>
    <w:rsid w:val="00E9024E"/>
    <w:rsid w:val="00E90368"/>
    <w:rsid w:val="00E93459"/>
    <w:rsid w:val="00E9357C"/>
    <w:rsid w:val="00E93DF8"/>
    <w:rsid w:val="00E9500F"/>
    <w:rsid w:val="00E95A08"/>
    <w:rsid w:val="00E95D86"/>
    <w:rsid w:val="00E9668D"/>
    <w:rsid w:val="00E96981"/>
    <w:rsid w:val="00EA2438"/>
    <w:rsid w:val="00EA24A6"/>
    <w:rsid w:val="00EA2A3B"/>
    <w:rsid w:val="00EA2EFD"/>
    <w:rsid w:val="00EA4743"/>
    <w:rsid w:val="00EA49A8"/>
    <w:rsid w:val="00EA56C4"/>
    <w:rsid w:val="00EA6316"/>
    <w:rsid w:val="00EA6662"/>
    <w:rsid w:val="00EA6C83"/>
    <w:rsid w:val="00EA6F6B"/>
    <w:rsid w:val="00EA72DA"/>
    <w:rsid w:val="00EA77D9"/>
    <w:rsid w:val="00EA78FF"/>
    <w:rsid w:val="00EB06D7"/>
    <w:rsid w:val="00EB39B9"/>
    <w:rsid w:val="00EB4082"/>
    <w:rsid w:val="00EB47E9"/>
    <w:rsid w:val="00EB4925"/>
    <w:rsid w:val="00EB5967"/>
    <w:rsid w:val="00EB59E4"/>
    <w:rsid w:val="00EB61B4"/>
    <w:rsid w:val="00EB6627"/>
    <w:rsid w:val="00EB6984"/>
    <w:rsid w:val="00EB6DC6"/>
    <w:rsid w:val="00EB7316"/>
    <w:rsid w:val="00EB7A0A"/>
    <w:rsid w:val="00EC040A"/>
    <w:rsid w:val="00EC0926"/>
    <w:rsid w:val="00EC0A98"/>
    <w:rsid w:val="00EC0DB3"/>
    <w:rsid w:val="00EC1843"/>
    <w:rsid w:val="00EC2756"/>
    <w:rsid w:val="00EC2780"/>
    <w:rsid w:val="00EC2853"/>
    <w:rsid w:val="00EC28B4"/>
    <w:rsid w:val="00EC2C80"/>
    <w:rsid w:val="00EC3D90"/>
    <w:rsid w:val="00EC3FD8"/>
    <w:rsid w:val="00EC4468"/>
    <w:rsid w:val="00EC5667"/>
    <w:rsid w:val="00EC5C0F"/>
    <w:rsid w:val="00EC609D"/>
    <w:rsid w:val="00EC6D5B"/>
    <w:rsid w:val="00EC7920"/>
    <w:rsid w:val="00ED0EF6"/>
    <w:rsid w:val="00ED1F6D"/>
    <w:rsid w:val="00ED3962"/>
    <w:rsid w:val="00ED3F46"/>
    <w:rsid w:val="00ED4398"/>
    <w:rsid w:val="00ED474F"/>
    <w:rsid w:val="00ED5431"/>
    <w:rsid w:val="00ED68C4"/>
    <w:rsid w:val="00ED7911"/>
    <w:rsid w:val="00ED7A5C"/>
    <w:rsid w:val="00EE0A22"/>
    <w:rsid w:val="00EE3051"/>
    <w:rsid w:val="00EE40CF"/>
    <w:rsid w:val="00EE4C05"/>
    <w:rsid w:val="00EE5486"/>
    <w:rsid w:val="00EE5EB4"/>
    <w:rsid w:val="00EE6A8C"/>
    <w:rsid w:val="00EE77AF"/>
    <w:rsid w:val="00EF098A"/>
    <w:rsid w:val="00EF19C9"/>
    <w:rsid w:val="00EF22D3"/>
    <w:rsid w:val="00EF48D1"/>
    <w:rsid w:val="00EF4B91"/>
    <w:rsid w:val="00EF4D6F"/>
    <w:rsid w:val="00EF555D"/>
    <w:rsid w:val="00EF59AB"/>
    <w:rsid w:val="00EF5CD5"/>
    <w:rsid w:val="00F000B0"/>
    <w:rsid w:val="00F01674"/>
    <w:rsid w:val="00F02CB2"/>
    <w:rsid w:val="00F02EF1"/>
    <w:rsid w:val="00F066DF"/>
    <w:rsid w:val="00F06EB0"/>
    <w:rsid w:val="00F07301"/>
    <w:rsid w:val="00F07335"/>
    <w:rsid w:val="00F0734F"/>
    <w:rsid w:val="00F07664"/>
    <w:rsid w:val="00F10408"/>
    <w:rsid w:val="00F10D9A"/>
    <w:rsid w:val="00F11A67"/>
    <w:rsid w:val="00F11E54"/>
    <w:rsid w:val="00F11F9E"/>
    <w:rsid w:val="00F1215F"/>
    <w:rsid w:val="00F12173"/>
    <w:rsid w:val="00F12B48"/>
    <w:rsid w:val="00F1327B"/>
    <w:rsid w:val="00F15D45"/>
    <w:rsid w:val="00F16D62"/>
    <w:rsid w:val="00F16DB1"/>
    <w:rsid w:val="00F178D2"/>
    <w:rsid w:val="00F201E5"/>
    <w:rsid w:val="00F20F00"/>
    <w:rsid w:val="00F21F25"/>
    <w:rsid w:val="00F2256C"/>
    <w:rsid w:val="00F22E87"/>
    <w:rsid w:val="00F23227"/>
    <w:rsid w:val="00F25202"/>
    <w:rsid w:val="00F258CC"/>
    <w:rsid w:val="00F25E5B"/>
    <w:rsid w:val="00F26BFC"/>
    <w:rsid w:val="00F26FD6"/>
    <w:rsid w:val="00F27A21"/>
    <w:rsid w:val="00F30E11"/>
    <w:rsid w:val="00F31460"/>
    <w:rsid w:val="00F31DB8"/>
    <w:rsid w:val="00F325DD"/>
    <w:rsid w:val="00F32A01"/>
    <w:rsid w:val="00F33A9D"/>
    <w:rsid w:val="00F34232"/>
    <w:rsid w:val="00F343A6"/>
    <w:rsid w:val="00F353ED"/>
    <w:rsid w:val="00F35FA4"/>
    <w:rsid w:val="00F36280"/>
    <w:rsid w:val="00F40F30"/>
    <w:rsid w:val="00F41926"/>
    <w:rsid w:val="00F41DF5"/>
    <w:rsid w:val="00F42AC9"/>
    <w:rsid w:val="00F443AC"/>
    <w:rsid w:val="00F4537C"/>
    <w:rsid w:val="00F45F9F"/>
    <w:rsid w:val="00F50F57"/>
    <w:rsid w:val="00F51BE9"/>
    <w:rsid w:val="00F52104"/>
    <w:rsid w:val="00F532AE"/>
    <w:rsid w:val="00F5334F"/>
    <w:rsid w:val="00F54B78"/>
    <w:rsid w:val="00F5538D"/>
    <w:rsid w:val="00F55E85"/>
    <w:rsid w:val="00F5702C"/>
    <w:rsid w:val="00F572CF"/>
    <w:rsid w:val="00F603CF"/>
    <w:rsid w:val="00F6078E"/>
    <w:rsid w:val="00F61805"/>
    <w:rsid w:val="00F61C42"/>
    <w:rsid w:val="00F62462"/>
    <w:rsid w:val="00F64E4D"/>
    <w:rsid w:val="00F65054"/>
    <w:rsid w:val="00F655B0"/>
    <w:rsid w:val="00F65628"/>
    <w:rsid w:val="00F700C1"/>
    <w:rsid w:val="00F71498"/>
    <w:rsid w:val="00F72F9E"/>
    <w:rsid w:val="00F743BD"/>
    <w:rsid w:val="00F743EC"/>
    <w:rsid w:val="00F744E2"/>
    <w:rsid w:val="00F747C6"/>
    <w:rsid w:val="00F752C0"/>
    <w:rsid w:val="00F76C36"/>
    <w:rsid w:val="00F76C3B"/>
    <w:rsid w:val="00F775E9"/>
    <w:rsid w:val="00F8195A"/>
    <w:rsid w:val="00F8238C"/>
    <w:rsid w:val="00F8286B"/>
    <w:rsid w:val="00F830E0"/>
    <w:rsid w:val="00F83B05"/>
    <w:rsid w:val="00F83E45"/>
    <w:rsid w:val="00F853CF"/>
    <w:rsid w:val="00F858AB"/>
    <w:rsid w:val="00F85C38"/>
    <w:rsid w:val="00F86523"/>
    <w:rsid w:val="00F86BDC"/>
    <w:rsid w:val="00F86CB0"/>
    <w:rsid w:val="00F87B5F"/>
    <w:rsid w:val="00F90222"/>
    <w:rsid w:val="00F9105F"/>
    <w:rsid w:val="00F917B5"/>
    <w:rsid w:val="00F917FD"/>
    <w:rsid w:val="00F92CCD"/>
    <w:rsid w:val="00F93547"/>
    <w:rsid w:val="00F939F0"/>
    <w:rsid w:val="00F93E85"/>
    <w:rsid w:val="00F93FE8"/>
    <w:rsid w:val="00F94673"/>
    <w:rsid w:val="00F94CFA"/>
    <w:rsid w:val="00F95503"/>
    <w:rsid w:val="00F955AF"/>
    <w:rsid w:val="00F95BAC"/>
    <w:rsid w:val="00F96AB3"/>
    <w:rsid w:val="00F96BD5"/>
    <w:rsid w:val="00FA02E8"/>
    <w:rsid w:val="00FA09CE"/>
    <w:rsid w:val="00FA2675"/>
    <w:rsid w:val="00FA3042"/>
    <w:rsid w:val="00FA352A"/>
    <w:rsid w:val="00FA3E59"/>
    <w:rsid w:val="00FA60C4"/>
    <w:rsid w:val="00FA6632"/>
    <w:rsid w:val="00FA67DF"/>
    <w:rsid w:val="00FA6827"/>
    <w:rsid w:val="00FA7486"/>
    <w:rsid w:val="00FB0905"/>
    <w:rsid w:val="00FB0CF4"/>
    <w:rsid w:val="00FB1B88"/>
    <w:rsid w:val="00FB1F5C"/>
    <w:rsid w:val="00FB3826"/>
    <w:rsid w:val="00FB3C47"/>
    <w:rsid w:val="00FB65E9"/>
    <w:rsid w:val="00FB6688"/>
    <w:rsid w:val="00FB6D48"/>
    <w:rsid w:val="00FB6D7F"/>
    <w:rsid w:val="00FB7533"/>
    <w:rsid w:val="00FB7E05"/>
    <w:rsid w:val="00FC1F5E"/>
    <w:rsid w:val="00FC258F"/>
    <w:rsid w:val="00FC5348"/>
    <w:rsid w:val="00FC5555"/>
    <w:rsid w:val="00FC62E3"/>
    <w:rsid w:val="00FC7044"/>
    <w:rsid w:val="00FD00F5"/>
    <w:rsid w:val="00FD0373"/>
    <w:rsid w:val="00FD0951"/>
    <w:rsid w:val="00FD0CFC"/>
    <w:rsid w:val="00FD0F21"/>
    <w:rsid w:val="00FD1200"/>
    <w:rsid w:val="00FD1A0A"/>
    <w:rsid w:val="00FD329B"/>
    <w:rsid w:val="00FD39CF"/>
    <w:rsid w:val="00FD3D82"/>
    <w:rsid w:val="00FD411E"/>
    <w:rsid w:val="00FD42FC"/>
    <w:rsid w:val="00FD65FC"/>
    <w:rsid w:val="00FD664D"/>
    <w:rsid w:val="00FE0167"/>
    <w:rsid w:val="00FE1A0F"/>
    <w:rsid w:val="00FE1A23"/>
    <w:rsid w:val="00FE1F52"/>
    <w:rsid w:val="00FE24E3"/>
    <w:rsid w:val="00FE388F"/>
    <w:rsid w:val="00FE3917"/>
    <w:rsid w:val="00FE3E73"/>
    <w:rsid w:val="00FE48DB"/>
    <w:rsid w:val="00FE5D95"/>
    <w:rsid w:val="00FE62AC"/>
    <w:rsid w:val="00FE64B5"/>
    <w:rsid w:val="00FE74E6"/>
    <w:rsid w:val="00FE7BD1"/>
    <w:rsid w:val="00FF03F5"/>
    <w:rsid w:val="00FF11F7"/>
    <w:rsid w:val="00FF178A"/>
    <w:rsid w:val="00FF218F"/>
    <w:rsid w:val="00FF30EC"/>
    <w:rsid w:val="00FF32A5"/>
    <w:rsid w:val="00FF3C37"/>
    <w:rsid w:val="00FF4211"/>
    <w:rsid w:val="00FF44F3"/>
    <w:rsid w:val="00FF5435"/>
    <w:rsid w:val="00FF56B8"/>
    <w:rsid w:val="00FF59D4"/>
    <w:rsid w:val="00FF6A39"/>
    <w:rsid w:val="00FF6D5F"/>
    <w:rsid w:val="00FF6EBA"/>
    <w:rsid w:val="00FF74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259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4"/>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6"/>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5"/>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semiHidden/>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7"/>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9E443B"/>
    <w:pPr>
      <w:widowControl/>
      <w:wordWrap/>
      <w:autoSpaceDE/>
      <w:autoSpaceDN/>
      <w:spacing w:before="60" w:afterLines="0" w:after="60" w:line="288" w:lineRule="auto"/>
      <w:ind w:firstLineChars="200" w:firstLine="200"/>
    </w:pPr>
    <w:rPr>
      <w:rFonts w:eastAsia="Times New Roman" w:cs="바탕"/>
      <w:kern w:val="0"/>
      <w:szCs w:val="20"/>
      <w:lang w:val="en-GB"/>
    </w:rPr>
  </w:style>
  <w:style w:type="character" w:customStyle="1" w:styleId="maintextChar">
    <w:name w:val="main text Char"/>
    <w:link w:val="maintext"/>
    <w:qFormat/>
    <w:rsid w:val="009E443B"/>
    <w:rPr>
      <w:rFonts w:ascii="Times New Roman" w:eastAsia="Times New Roman"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0A8AFB-4553-4C91-9DD0-C01A95F8A5A3}">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192E0-5B3E-46D4-BADB-EE361AA76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2110</Words>
  <Characters>12033</Characters>
  <Application>Microsoft Office Word</Application>
  <DocSecurity>0</DocSecurity>
  <Lines>100</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2021-11-05T01:34:00Z</dcterms:created>
  <dcterms:modified xsi:type="dcterms:W3CDTF">2021-11-05T01:34:00Z</dcterms:modified>
</cp:coreProperties>
</file>